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outlineLvl w:val="0"/>
        <w:rPr>
          <w:rFonts w:hint="eastAsia" w:hAnsi="宋体" w:eastAsia="宋体" w:cs="宋体"/>
          <w:b/>
          <w:bCs/>
          <w:sz w:val="36"/>
          <w:szCs w:val="36"/>
          <w:highlight w:val="none"/>
          <w:lang w:val="en-US" w:eastAsia="zh-CN"/>
        </w:rPr>
      </w:pPr>
      <w:bookmarkStart w:id="0" w:name="_Toc4744138"/>
      <w:r>
        <w:rPr>
          <w:rFonts w:hint="eastAsia" w:hAnsi="宋体" w:eastAsia="宋体" w:cs="宋体"/>
          <w:b/>
          <w:bCs/>
          <w:sz w:val="36"/>
          <w:szCs w:val="36"/>
          <w:highlight w:val="none"/>
          <w:lang w:val="en-US" w:eastAsia="zh-CN"/>
        </w:rPr>
        <w:t>附件：</w:t>
      </w:r>
    </w:p>
    <w:p>
      <w:pPr>
        <w:pStyle w:val="2"/>
        <w:keepNext w:val="0"/>
        <w:keepLines w:val="0"/>
        <w:pageBreakBefore w:val="0"/>
        <w:widowControl w:val="0"/>
        <w:kinsoku/>
        <w:wordWrap/>
        <w:overflowPunct/>
        <w:topLinePunct w:val="0"/>
        <w:autoSpaceDE/>
        <w:autoSpaceDN/>
        <w:bidi w:val="0"/>
        <w:adjustRightInd w:val="0"/>
        <w:snapToGrid/>
        <w:ind w:left="420" w:right="34" w:firstLine="562" w:firstLineChars="200"/>
        <w:textAlignment w:val="baseline"/>
        <w:rPr>
          <w:rFonts w:hint="default"/>
          <w:color w:val="FF0000"/>
          <w:sz w:val="28"/>
          <w:szCs w:val="28"/>
          <w:lang w:val="en-US" w:eastAsia="zh-CN"/>
        </w:rPr>
      </w:pPr>
      <w:r>
        <w:rPr>
          <w:rFonts w:hint="eastAsia" w:hAnsi="宋体" w:eastAsia="宋体" w:cs="宋体"/>
          <w:b/>
          <w:bCs/>
          <w:color w:val="FF0000"/>
          <w:sz w:val="28"/>
          <w:szCs w:val="28"/>
          <w:highlight w:val="none"/>
          <w:lang w:val="en-US" w:eastAsia="zh-CN"/>
        </w:rPr>
        <w:t>此文件为更正公告附件，SYCG(D)2020203采购文件与此附件内容不同处，以此更正公告附件为准。</w:t>
      </w:r>
    </w:p>
    <w:p>
      <w:pPr>
        <w:jc w:val="center"/>
        <w:outlineLvl w:val="0"/>
        <w:rPr>
          <w:rFonts w:hint="eastAsia" w:ascii="宋体" w:hAnsi="宋体" w:eastAsia="宋体" w:cs="宋体"/>
          <w:b/>
          <w:bCs/>
          <w:sz w:val="36"/>
          <w:szCs w:val="36"/>
          <w:highlight w:val="none"/>
          <w:lang w:val="en-US"/>
        </w:rPr>
      </w:pPr>
      <w:r>
        <w:rPr>
          <w:rFonts w:hint="eastAsia" w:ascii="宋体" w:hAnsi="宋体" w:eastAsia="宋体" w:cs="宋体"/>
          <w:b/>
          <w:bCs/>
          <w:sz w:val="36"/>
          <w:szCs w:val="36"/>
          <w:highlight w:val="none"/>
        </w:rPr>
        <w:t xml:space="preserve">第三章  </w:t>
      </w:r>
      <w:bookmarkEnd w:id="0"/>
      <w:r>
        <w:rPr>
          <w:rFonts w:hint="eastAsia" w:ascii="宋体" w:hAnsi="宋体" w:eastAsia="宋体" w:cs="宋体"/>
          <w:b/>
          <w:bCs/>
          <w:sz w:val="36"/>
          <w:szCs w:val="36"/>
          <w:highlight w:val="none"/>
          <w:lang w:val="en-US" w:eastAsia="zh-CN"/>
        </w:rPr>
        <w:t>项目需求</w:t>
      </w:r>
    </w:p>
    <w:p>
      <w:pPr>
        <w:keepNext w:val="0"/>
        <w:keepLines w:val="0"/>
        <w:pageBreakBefore w:val="0"/>
        <w:widowControl w:val="0"/>
        <w:kinsoku/>
        <w:wordWrap/>
        <w:overflowPunct/>
        <w:topLinePunct w:val="0"/>
        <w:autoSpaceDE w:val="0"/>
        <w:autoSpaceDN w:val="0"/>
        <w:bidi w:val="0"/>
        <w:adjustRightInd/>
        <w:snapToGrid/>
        <w:spacing w:before="157" w:beforeLines="50" w:after="157" w:afterLines="50" w:line="360" w:lineRule="auto"/>
        <w:ind w:firstLine="562" w:firstLineChars="200"/>
        <w:jc w:val="both"/>
        <w:textAlignment w:val="auto"/>
        <w:rPr>
          <w:rFonts w:hint="eastAsia" w:ascii="宋体" w:hAnsi="宋体" w:eastAsia="宋体" w:cs="宋体"/>
          <w:b/>
          <w:bCs/>
          <w:sz w:val="28"/>
          <w:szCs w:val="28"/>
          <w:highlight w:val="none"/>
        </w:rPr>
      </w:pPr>
      <w:bookmarkStart w:id="1" w:name="_Toc411241126"/>
      <w:bookmarkStart w:id="2" w:name="_Toc411241139"/>
      <w:bookmarkStart w:id="3" w:name="_Toc411241109"/>
      <w:r>
        <w:rPr>
          <w:rFonts w:hint="eastAsia" w:ascii="宋体" w:hAnsi="宋体" w:eastAsia="宋体" w:cs="宋体"/>
          <w:b/>
          <w:bCs/>
          <w:sz w:val="28"/>
          <w:szCs w:val="28"/>
          <w:highlight w:val="none"/>
        </w:rPr>
        <w:t>第一项、项目（简要说明）及预算金额：</w:t>
      </w:r>
    </w:p>
    <w:p>
      <w:pPr>
        <w:keepNext w:val="0"/>
        <w:keepLines w:val="0"/>
        <w:pageBreakBefore w:val="0"/>
        <w:widowControl w:val="0"/>
        <w:kinsoku/>
        <w:wordWrap/>
        <w:overflowPunct/>
        <w:topLinePunct w:val="0"/>
        <w:autoSpaceDE w:val="0"/>
        <w:autoSpaceDN w:val="0"/>
        <w:bidi w:val="0"/>
        <w:adjustRightInd/>
        <w:snapToGrid/>
        <w:spacing w:line="360" w:lineRule="auto"/>
        <w:ind w:firstLine="482" w:firstLineChars="200"/>
        <w:jc w:val="both"/>
        <w:textAlignment w:val="auto"/>
        <w:rPr>
          <w:rFonts w:hint="eastAsia" w:ascii="宋体" w:hAnsi="宋体" w:eastAsia="宋体" w:cs="宋体"/>
          <w:sz w:val="24"/>
          <w:szCs w:val="24"/>
          <w:highlight w:val="none"/>
        </w:rPr>
      </w:pPr>
      <w:r>
        <w:rPr>
          <w:rFonts w:hint="eastAsia" w:ascii="宋体" w:hAnsi="宋体" w:eastAsia="宋体" w:cs="宋体"/>
          <w:b/>
          <w:bCs/>
          <w:sz w:val="24"/>
          <w:szCs w:val="24"/>
          <w:highlight w:val="none"/>
        </w:rPr>
        <w:t>（一）采购内容：</w:t>
      </w:r>
      <w:r>
        <w:rPr>
          <w:rFonts w:hint="eastAsia" w:hAnsi="宋体" w:eastAsia="宋体" w:cs="宋体"/>
          <w:sz w:val="24"/>
          <w:szCs w:val="24"/>
          <w:highlight w:val="none"/>
          <w:lang w:eastAsia="zh-CN"/>
        </w:rPr>
        <w:t>本次建设为射阳县应急指挥中心平台，主要系统包含：扩声系统、数字会议系统、LED大屏显示系统、远程视频会议系统、KVM分布式坐席综合管理系统、UPS系统及一些其他辅助周边设备</w:t>
      </w:r>
      <w:r>
        <w:rPr>
          <w:rFonts w:hint="eastAsia" w:ascii="宋体" w:hAnsi="宋体" w:eastAsia="宋体" w:cs="宋体"/>
          <w:sz w:val="24"/>
          <w:szCs w:val="24"/>
          <w:highlight w:val="none"/>
        </w:rPr>
        <w:t>。</w:t>
      </w:r>
    </w:p>
    <w:p>
      <w:pPr>
        <w:keepNext w:val="0"/>
        <w:keepLines w:val="0"/>
        <w:pageBreakBefore w:val="0"/>
        <w:widowControl w:val="0"/>
        <w:kinsoku/>
        <w:wordWrap/>
        <w:overflowPunct/>
        <w:topLinePunct w:val="0"/>
        <w:autoSpaceDE w:val="0"/>
        <w:autoSpaceDN w:val="0"/>
        <w:bidi w:val="0"/>
        <w:adjustRightInd/>
        <w:snapToGrid/>
        <w:spacing w:line="360" w:lineRule="auto"/>
        <w:ind w:firstLine="482" w:firstLineChars="200"/>
        <w:jc w:val="both"/>
        <w:textAlignment w:val="auto"/>
        <w:rPr>
          <w:rFonts w:hint="eastAsia" w:ascii="宋体" w:hAnsi="宋体" w:eastAsia="宋体" w:cs="宋体"/>
          <w:sz w:val="24"/>
          <w:szCs w:val="24"/>
          <w:highlight w:val="none"/>
        </w:rPr>
      </w:pPr>
      <w:r>
        <w:rPr>
          <w:rFonts w:hint="eastAsia" w:ascii="宋体" w:hAnsi="宋体" w:eastAsia="宋体" w:cs="宋体"/>
          <w:b/>
          <w:bCs/>
          <w:sz w:val="24"/>
          <w:szCs w:val="24"/>
          <w:highlight w:val="none"/>
        </w:rPr>
        <w:t>（二）本项目采购最高限价</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人民币约</w:t>
      </w:r>
      <w:r>
        <w:rPr>
          <w:rFonts w:hint="eastAsia" w:ascii="宋体" w:hAnsi="宋体" w:eastAsia="宋体" w:cs="宋体"/>
          <w:sz w:val="24"/>
          <w:szCs w:val="24"/>
          <w:highlight w:val="none"/>
          <w:lang w:val="en-US" w:eastAsia="zh-CN"/>
        </w:rPr>
        <w:t>160</w:t>
      </w:r>
      <w:r>
        <w:rPr>
          <w:rFonts w:hint="eastAsia" w:ascii="宋体" w:hAnsi="宋体" w:eastAsia="宋体" w:cs="宋体"/>
          <w:sz w:val="24"/>
          <w:szCs w:val="24"/>
          <w:highlight w:val="none"/>
        </w:rPr>
        <w:t>万元。报价超过最高限价的为无效报价，按照无效响应处理。</w:t>
      </w:r>
    </w:p>
    <w:p>
      <w:pPr>
        <w:keepNext w:val="0"/>
        <w:keepLines w:val="0"/>
        <w:pageBreakBefore w:val="0"/>
        <w:widowControl w:val="0"/>
        <w:kinsoku/>
        <w:wordWrap/>
        <w:overflowPunct/>
        <w:topLinePunct w:val="0"/>
        <w:autoSpaceDE w:val="0"/>
        <w:autoSpaceDN w:val="0"/>
        <w:bidi w:val="0"/>
        <w:adjustRightInd/>
        <w:snapToGrid/>
        <w:spacing w:line="360" w:lineRule="auto"/>
        <w:ind w:firstLine="482" w:firstLineChars="200"/>
        <w:jc w:val="both"/>
        <w:textAlignment w:val="auto"/>
        <w:rPr>
          <w:rFonts w:hint="eastAsia" w:ascii="宋体" w:hAnsi="宋体" w:eastAsia="宋体" w:cs="宋体"/>
          <w:sz w:val="24"/>
          <w:szCs w:val="24"/>
          <w:highlight w:val="none"/>
        </w:rPr>
      </w:pPr>
      <w:r>
        <w:rPr>
          <w:rFonts w:hint="eastAsia" w:ascii="宋体" w:hAnsi="宋体" w:eastAsia="宋体" w:cs="宋体"/>
          <w:b/>
          <w:bCs/>
          <w:sz w:val="24"/>
          <w:szCs w:val="24"/>
          <w:highlight w:val="none"/>
        </w:rPr>
        <w:t>（三）质量标准:</w:t>
      </w:r>
      <w:r>
        <w:rPr>
          <w:rFonts w:hint="eastAsia" w:ascii="宋体" w:hAnsi="宋体" w:eastAsia="宋体" w:cs="宋体"/>
          <w:sz w:val="24"/>
          <w:szCs w:val="24"/>
          <w:highlight w:val="none"/>
        </w:rPr>
        <w:t>符合国家标准及行业标准要求。</w:t>
      </w:r>
    </w:p>
    <w:p>
      <w:pPr>
        <w:keepNext w:val="0"/>
        <w:keepLines w:val="0"/>
        <w:pageBreakBefore w:val="0"/>
        <w:widowControl w:val="0"/>
        <w:kinsoku/>
        <w:wordWrap/>
        <w:overflowPunct/>
        <w:topLinePunct w:val="0"/>
        <w:autoSpaceDE w:val="0"/>
        <w:autoSpaceDN w:val="0"/>
        <w:bidi w:val="0"/>
        <w:adjustRightInd/>
        <w:snapToGrid/>
        <w:spacing w:line="360" w:lineRule="auto"/>
        <w:ind w:firstLine="482" w:firstLineChars="200"/>
        <w:jc w:val="both"/>
        <w:textAlignment w:val="auto"/>
        <w:rPr>
          <w:rFonts w:hint="eastAsia" w:ascii="宋体" w:hAnsi="宋体" w:eastAsia="宋体" w:cs="宋体"/>
          <w:sz w:val="24"/>
          <w:szCs w:val="24"/>
          <w:highlight w:val="none"/>
        </w:rPr>
      </w:pPr>
      <w:r>
        <w:rPr>
          <w:rFonts w:hint="eastAsia" w:ascii="宋体" w:hAnsi="宋体" w:eastAsia="宋体" w:cs="宋体"/>
          <w:b/>
          <w:bCs/>
          <w:sz w:val="24"/>
          <w:szCs w:val="24"/>
          <w:highlight w:val="none"/>
        </w:rPr>
        <w:t>（四</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服务要求：</w:t>
      </w:r>
      <w:r>
        <w:rPr>
          <w:rFonts w:hint="eastAsia" w:ascii="宋体" w:hAnsi="宋体" w:eastAsia="宋体" w:cs="宋体"/>
          <w:sz w:val="24"/>
          <w:szCs w:val="24"/>
          <w:highlight w:val="none"/>
        </w:rPr>
        <w:t>提供7*24小时技术支持，提供2小时内远程支持服务，如远程支持不能解决的，4小时内工程师到现场解决，如8小时内无法排除故障，应对设备免费更换。</w:t>
      </w:r>
    </w:p>
    <w:p>
      <w:pPr>
        <w:keepNext w:val="0"/>
        <w:keepLines w:val="0"/>
        <w:pageBreakBefore w:val="0"/>
        <w:widowControl w:val="0"/>
        <w:kinsoku/>
        <w:wordWrap/>
        <w:overflowPunct/>
        <w:topLinePunct w:val="0"/>
        <w:autoSpaceDE w:val="0"/>
        <w:autoSpaceDN w:val="0"/>
        <w:bidi w:val="0"/>
        <w:adjustRightInd/>
        <w:snapToGrid/>
        <w:spacing w:before="157" w:beforeLines="50" w:after="157" w:afterLines="50" w:line="360" w:lineRule="auto"/>
        <w:ind w:firstLine="562"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b/>
          <w:bCs/>
          <w:sz w:val="28"/>
          <w:szCs w:val="28"/>
          <w:highlight w:val="none"/>
        </w:rPr>
        <w:t>第二项、项目要求：</w:t>
      </w:r>
    </w:p>
    <w:p>
      <w:pPr>
        <w:keepNext w:val="0"/>
        <w:keepLines w:val="0"/>
        <w:pageBreakBefore w:val="0"/>
        <w:kinsoku/>
        <w:wordWrap/>
        <w:overflowPunct/>
        <w:topLinePunct w:val="0"/>
        <w:bidi w:val="0"/>
        <w:spacing w:line="360" w:lineRule="auto"/>
        <w:ind w:hanging="105"/>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1、项目整体需求</w:t>
      </w:r>
    </w:p>
    <w:p>
      <w:pPr>
        <w:keepNext w:val="0"/>
        <w:keepLines w:val="0"/>
        <w:pageBreakBefore w:val="0"/>
        <w:kinsoku/>
        <w:wordWrap/>
        <w:overflowPunct/>
        <w:topLinePunct w:val="0"/>
        <w:bidi w:val="0"/>
        <w:spacing w:line="360" w:lineRule="auto"/>
        <w:ind w:hanging="105"/>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1.1 工程概况</w:t>
      </w:r>
    </w:p>
    <w:p>
      <w:pPr>
        <w:pStyle w:val="7"/>
        <w:keepNext w:val="0"/>
        <w:keepLines w:val="0"/>
        <w:pageBreakBefore w:val="0"/>
        <w:kinsoku/>
        <w:wordWrap/>
        <w:overflowPunct/>
        <w:topLinePunct w:val="0"/>
        <w:bidi w:val="0"/>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本项目主要为射阳县应急指挥中心建立一套应急指挥平台。向上：可连接省、市应急指挥中心（平台），可连接国家局、省、市气象会商平台，向下：可连接相关性部门、各镇区视频会议平台。</w:t>
      </w:r>
    </w:p>
    <w:p>
      <w:pPr>
        <w:pStyle w:val="7"/>
        <w:keepNext w:val="0"/>
        <w:keepLines w:val="0"/>
        <w:pageBreakBefore w:val="0"/>
        <w:kinsoku/>
        <w:wordWrap/>
        <w:overflowPunct/>
        <w:topLinePunct w:val="0"/>
        <w:bidi w:val="0"/>
        <w:spacing w:line="360" w:lineRule="auto"/>
        <w:ind w:left="0" w:leftChars="0" w:firstLine="0" w:firstLineChars="0"/>
        <w:rPr>
          <w:rFonts w:hint="eastAsia" w:ascii="宋体" w:hAnsi="宋体" w:eastAsia="宋体" w:cs="宋体"/>
          <w:color w:val="auto"/>
          <w:sz w:val="24"/>
          <w:szCs w:val="24"/>
          <w:highlight w:val="none"/>
        </w:rPr>
      </w:pPr>
    </w:p>
    <w:p>
      <w:pPr>
        <w:keepNext w:val="0"/>
        <w:keepLines w:val="0"/>
        <w:pageBreakBefore w:val="0"/>
        <w:kinsoku/>
        <w:wordWrap/>
        <w:overflowPunct/>
        <w:topLinePunct w:val="0"/>
        <w:bidi w:val="0"/>
        <w:spacing w:line="360" w:lineRule="auto"/>
        <w:ind w:hanging="105"/>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1.2 系统主要建设内容</w:t>
      </w:r>
    </w:p>
    <w:p>
      <w:pPr>
        <w:pStyle w:val="7"/>
        <w:keepNext w:val="0"/>
        <w:keepLines w:val="0"/>
        <w:pageBreakBefore w:val="0"/>
        <w:kinsoku/>
        <w:wordWrap/>
        <w:overflowPunct/>
        <w:topLinePunct w:val="0"/>
        <w:bidi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系统功能配置主要有：</w:t>
      </w:r>
    </w:p>
    <w:p>
      <w:pPr>
        <w:pStyle w:val="7"/>
        <w:keepNext w:val="0"/>
        <w:keepLines w:val="0"/>
        <w:pageBreakBefore w:val="0"/>
        <w:numPr>
          <w:ilvl w:val="0"/>
          <w:numId w:val="2"/>
        </w:numPr>
        <w:kinsoku/>
        <w:wordWrap/>
        <w:overflowPunct/>
        <w:topLinePunct w:val="0"/>
        <w:bidi w:val="0"/>
        <w:spacing w:line="360" w:lineRule="auto"/>
        <w:ind w:firstLine="42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扩声</w:t>
      </w:r>
      <w:r>
        <w:rPr>
          <w:rFonts w:hint="eastAsia" w:ascii="宋体" w:hAnsi="宋体" w:eastAsia="宋体" w:cs="宋体"/>
          <w:color w:val="auto"/>
          <w:sz w:val="24"/>
          <w:szCs w:val="24"/>
          <w:highlight w:val="none"/>
        </w:rPr>
        <w:t>系统；</w:t>
      </w:r>
    </w:p>
    <w:p>
      <w:pPr>
        <w:pStyle w:val="7"/>
        <w:keepNext w:val="0"/>
        <w:keepLines w:val="0"/>
        <w:pageBreakBefore w:val="0"/>
        <w:numPr>
          <w:ilvl w:val="0"/>
          <w:numId w:val="2"/>
        </w:numPr>
        <w:kinsoku/>
        <w:wordWrap/>
        <w:overflowPunct/>
        <w:topLinePunct w:val="0"/>
        <w:bidi w:val="0"/>
        <w:spacing w:line="360" w:lineRule="auto"/>
        <w:ind w:firstLine="42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数字会议</w:t>
      </w:r>
      <w:r>
        <w:rPr>
          <w:rFonts w:hint="eastAsia" w:ascii="宋体" w:hAnsi="宋体" w:eastAsia="宋体" w:cs="宋体"/>
          <w:color w:val="auto"/>
          <w:sz w:val="24"/>
          <w:szCs w:val="24"/>
          <w:highlight w:val="none"/>
        </w:rPr>
        <w:t>系统；</w:t>
      </w:r>
    </w:p>
    <w:p>
      <w:pPr>
        <w:pStyle w:val="7"/>
        <w:keepNext w:val="0"/>
        <w:keepLines w:val="0"/>
        <w:pageBreakBefore w:val="0"/>
        <w:numPr>
          <w:ilvl w:val="0"/>
          <w:numId w:val="2"/>
        </w:numPr>
        <w:kinsoku/>
        <w:wordWrap/>
        <w:overflowPunct/>
        <w:topLinePunct w:val="0"/>
        <w:bidi w:val="0"/>
        <w:spacing w:line="360" w:lineRule="auto"/>
        <w:ind w:firstLine="42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LED大屏</w:t>
      </w:r>
      <w:r>
        <w:rPr>
          <w:rFonts w:hint="eastAsia" w:ascii="宋体" w:hAnsi="宋体" w:eastAsia="宋体" w:cs="宋体"/>
          <w:color w:val="auto"/>
          <w:sz w:val="24"/>
          <w:szCs w:val="24"/>
          <w:highlight w:val="none"/>
        </w:rPr>
        <w:t>显示系统；</w:t>
      </w:r>
    </w:p>
    <w:p>
      <w:pPr>
        <w:pStyle w:val="7"/>
        <w:keepNext w:val="0"/>
        <w:keepLines w:val="0"/>
        <w:pageBreakBefore w:val="0"/>
        <w:numPr>
          <w:ilvl w:val="0"/>
          <w:numId w:val="2"/>
        </w:numPr>
        <w:kinsoku/>
        <w:wordWrap/>
        <w:overflowPunct/>
        <w:topLinePunct w:val="0"/>
        <w:bidi w:val="0"/>
        <w:spacing w:line="360" w:lineRule="auto"/>
        <w:ind w:firstLine="42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远程视频会议</w:t>
      </w:r>
      <w:r>
        <w:rPr>
          <w:rFonts w:hint="eastAsia" w:ascii="宋体" w:hAnsi="宋体" w:eastAsia="宋体" w:cs="宋体"/>
          <w:color w:val="auto"/>
          <w:sz w:val="24"/>
          <w:szCs w:val="24"/>
          <w:highlight w:val="none"/>
        </w:rPr>
        <w:t>系统；</w:t>
      </w:r>
    </w:p>
    <w:p>
      <w:pPr>
        <w:pStyle w:val="7"/>
        <w:keepNext w:val="0"/>
        <w:keepLines w:val="0"/>
        <w:pageBreakBefore w:val="0"/>
        <w:numPr>
          <w:ilvl w:val="0"/>
          <w:numId w:val="2"/>
        </w:numPr>
        <w:kinsoku/>
        <w:wordWrap/>
        <w:overflowPunct/>
        <w:topLinePunct w:val="0"/>
        <w:bidi w:val="0"/>
        <w:spacing w:line="360" w:lineRule="auto"/>
        <w:ind w:firstLine="42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KVM分布式坐席综合管理</w:t>
      </w:r>
      <w:r>
        <w:rPr>
          <w:rFonts w:hint="eastAsia" w:ascii="宋体" w:hAnsi="宋体" w:eastAsia="宋体" w:cs="宋体"/>
          <w:color w:val="auto"/>
          <w:sz w:val="24"/>
          <w:szCs w:val="24"/>
          <w:highlight w:val="none"/>
        </w:rPr>
        <w:t>系统；</w:t>
      </w:r>
    </w:p>
    <w:p>
      <w:pPr>
        <w:pStyle w:val="7"/>
        <w:keepNext w:val="0"/>
        <w:keepLines w:val="0"/>
        <w:pageBreakBefore w:val="0"/>
        <w:numPr>
          <w:ilvl w:val="0"/>
          <w:numId w:val="2"/>
        </w:numPr>
        <w:kinsoku/>
        <w:wordWrap/>
        <w:overflowPunct/>
        <w:topLinePunct w:val="0"/>
        <w:bidi w:val="0"/>
        <w:spacing w:line="360" w:lineRule="auto"/>
        <w:ind w:firstLine="42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UPS</w:t>
      </w:r>
      <w:r>
        <w:rPr>
          <w:rFonts w:hint="eastAsia" w:ascii="宋体" w:hAnsi="宋体" w:eastAsia="宋体" w:cs="宋体"/>
          <w:color w:val="auto"/>
          <w:sz w:val="24"/>
          <w:szCs w:val="24"/>
          <w:highlight w:val="none"/>
        </w:rPr>
        <w:t>系统；</w:t>
      </w:r>
    </w:p>
    <w:p>
      <w:pPr>
        <w:pStyle w:val="7"/>
        <w:keepNext w:val="0"/>
        <w:keepLines w:val="0"/>
        <w:pageBreakBefore w:val="0"/>
        <w:numPr>
          <w:ilvl w:val="0"/>
          <w:numId w:val="2"/>
        </w:numPr>
        <w:kinsoku/>
        <w:wordWrap/>
        <w:overflowPunct/>
        <w:topLinePunct w:val="0"/>
        <w:bidi w:val="0"/>
        <w:spacing w:line="360" w:lineRule="auto"/>
        <w:ind w:firstLine="42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其他设备</w:t>
      </w:r>
      <w:r>
        <w:rPr>
          <w:rFonts w:hint="eastAsia" w:ascii="宋体" w:hAnsi="宋体" w:eastAsia="宋体" w:cs="宋体"/>
          <w:color w:val="auto"/>
          <w:sz w:val="24"/>
          <w:szCs w:val="24"/>
          <w:highlight w:val="none"/>
        </w:rPr>
        <w:t>；</w:t>
      </w:r>
    </w:p>
    <w:p>
      <w:pPr>
        <w:pStyle w:val="7"/>
        <w:keepNext w:val="0"/>
        <w:keepLines w:val="0"/>
        <w:pageBreakBefore w:val="0"/>
        <w:kinsoku/>
        <w:wordWrap/>
        <w:overflowPunct/>
        <w:topLinePunct w:val="0"/>
        <w:bidi w:val="0"/>
        <w:spacing w:line="360" w:lineRule="auto"/>
        <w:ind w:firstLine="480" w:firstLineChars="200"/>
        <w:rPr>
          <w:rFonts w:hint="eastAsia" w:ascii="宋体" w:hAnsi="宋体" w:eastAsia="宋体" w:cs="宋体"/>
          <w:color w:val="auto"/>
          <w:sz w:val="24"/>
          <w:szCs w:val="24"/>
          <w:highlight w:val="none"/>
        </w:rPr>
      </w:pPr>
    </w:p>
    <w:p>
      <w:pPr>
        <w:keepNext w:val="0"/>
        <w:keepLines w:val="0"/>
        <w:pageBreakBefore w:val="0"/>
        <w:kinsoku/>
        <w:wordWrap/>
        <w:overflowPunct/>
        <w:topLinePunct w:val="0"/>
        <w:bidi w:val="0"/>
        <w:spacing w:line="360" w:lineRule="auto"/>
        <w:ind w:hanging="105"/>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1.3 系统建设需求</w:t>
      </w:r>
    </w:p>
    <w:p>
      <w:pPr>
        <w:pStyle w:val="7"/>
        <w:keepNext w:val="0"/>
        <w:keepLines w:val="0"/>
        <w:pageBreakBefore w:val="0"/>
        <w:kinsoku/>
        <w:wordWrap/>
        <w:overflowPunct/>
        <w:topLinePunct w:val="0"/>
        <w:bidi w:val="0"/>
        <w:spacing w:line="360" w:lineRule="auto"/>
        <w:ind w:firstLine="0" w:firstLineChars="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1.3.</w:t>
      </w:r>
      <w:r>
        <w:rPr>
          <w:rFonts w:hint="eastAsia" w:ascii="宋体" w:hAnsi="宋体" w:eastAsia="宋体" w:cs="宋体"/>
          <w:b/>
          <w:color w:val="auto"/>
          <w:sz w:val="24"/>
          <w:szCs w:val="24"/>
          <w:highlight w:val="none"/>
          <w:lang w:val="en-US" w:eastAsia="zh-CN"/>
        </w:rPr>
        <w:t>1</w:t>
      </w:r>
      <w:r>
        <w:rPr>
          <w:rFonts w:hint="eastAsia" w:ascii="宋体" w:hAnsi="宋体" w:eastAsia="宋体" w:cs="宋体"/>
          <w:b/>
          <w:color w:val="auto"/>
          <w:sz w:val="24"/>
          <w:szCs w:val="24"/>
          <w:highlight w:val="none"/>
        </w:rPr>
        <w:t>扩声系统</w:t>
      </w:r>
    </w:p>
    <w:p>
      <w:pPr>
        <w:pStyle w:val="8"/>
        <w:keepNext w:val="0"/>
        <w:keepLines w:val="0"/>
        <w:pageBreakBefore w:val="0"/>
        <w:kinsoku/>
        <w:wordWrap/>
        <w:overflowPunct/>
        <w:topLinePunct w:val="0"/>
        <w:bidi w:val="0"/>
        <w:spacing w:beforeLines="0" w:afterLines="0"/>
        <w:ind w:firstLine="480"/>
        <w:contextualSpacing/>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本系统要求采用数字音频处理设备，可通过集中控制系统统一进行操作；根据不同的使用模式可以自由调整设备的组合来达到不同的效果。</w:t>
      </w:r>
    </w:p>
    <w:p>
      <w:pPr>
        <w:keepNext w:val="0"/>
        <w:keepLines w:val="0"/>
        <w:pageBreakBefore w:val="0"/>
        <w:kinsoku/>
        <w:wordWrap/>
        <w:overflowPunct/>
        <w:topLinePunct w:val="0"/>
        <w:bidi w:val="0"/>
        <w:spacing w:line="360" w:lineRule="auto"/>
        <w:ind w:firstLine="48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1）扬声器要求</w:t>
      </w:r>
    </w:p>
    <w:p>
      <w:pPr>
        <w:keepNext w:val="0"/>
        <w:keepLines w:val="0"/>
        <w:pageBreakBefore w:val="0"/>
        <w:numPr>
          <w:ilvl w:val="0"/>
          <w:numId w:val="2"/>
        </w:numPr>
        <w:kinsoku/>
        <w:wordWrap/>
        <w:overflowPunct/>
        <w:topLinePunct w:val="0"/>
        <w:bidi w:val="0"/>
        <w:spacing w:line="360" w:lineRule="auto"/>
        <w:contextualSpacing/>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主扩声采用超薄组合式阵列扬声器，最大声压级不低于118dB</w:t>
      </w:r>
    </w:p>
    <w:p>
      <w:pPr>
        <w:keepNext w:val="0"/>
        <w:keepLines w:val="0"/>
        <w:pageBreakBefore w:val="0"/>
        <w:numPr>
          <w:ilvl w:val="0"/>
          <w:numId w:val="2"/>
        </w:numPr>
        <w:kinsoku/>
        <w:wordWrap/>
        <w:overflowPunct/>
        <w:topLinePunct w:val="0"/>
        <w:bidi w:val="0"/>
        <w:spacing w:line="360" w:lineRule="auto"/>
        <w:contextualSpacing/>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辅助扩声采用同轴吸顶扬声器，且高音指向可随意转动。</w:t>
      </w:r>
    </w:p>
    <w:p>
      <w:pPr>
        <w:keepNext w:val="0"/>
        <w:keepLines w:val="0"/>
        <w:pageBreakBefore w:val="0"/>
        <w:kinsoku/>
        <w:wordWrap/>
        <w:overflowPunct/>
        <w:topLinePunct w:val="0"/>
        <w:bidi w:val="0"/>
        <w:spacing w:line="360" w:lineRule="auto"/>
        <w:ind w:firstLine="48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2）功放的要求</w:t>
      </w:r>
    </w:p>
    <w:p>
      <w:pPr>
        <w:keepNext w:val="0"/>
        <w:keepLines w:val="0"/>
        <w:pageBreakBefore w:val="0"/>
        <w:numPr>
          <w:ilvl w:val="0"/>
          <w:numId w:val="2"/>
        </w:numPr>
        <w:kinsoku/>
        <w:wordWrap/>
        <w:overflowPunct/>
        <w:topLinePunct w:val="0"/>
        <w:bidi w:val="0"/>
        <w:spacing w:line="360" w:lineRule="auto"/>
        <w:contextualSpacing/>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保护装置：过热保护、超温输出功率控制、长期输出功率控制、输出短路保护、过载保护、直流保护</w:t>
      </w:r>
    </w:p>
    <w:p>
      <w:pPr>
        <w:keepNext w:val="0"/>
        <w:keepLines w:val="0"/>
        <w:pageBreakBefore w:val="0"/>
        <w:numPr>
          <w:ilvl w:val="0"/>
          <w:numId w:val="2"/>
        </w:numPr>
        <w:kinsoku/>
        <w:wordWrap/>
        <w:overflowPunct/>
        <w:topLinePunct w:val="0"/>
        <w:bidi w:val="0"/>
        <w:spacing w:line="360" w:lineRule="auto"/>
        <w:contextualSpacing/>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本系统设计要求：功率放大器的标称输出功率（FTC）大于对应的音箱标称功率（RMS）1.5倍。</w:t>
      </w:r>
    </w:p>
    <w:p>
      <w:pPr>
        <w:keepNext w:val="0"/>
        <w:keepLines w:val="0"/>
        <w:pageBreakBefore w:val="0"/>
        <w:kinsoku/>
        <w:wordWrap/>
        <w:overflowPunct/>
        <w:topLinePunct w:val="0"/>
        <w:bidi w:val="0"/>
        <w:spacing w:line="360" w:lineRule="auto"/>
        <w:ind w:firstLine="48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3）音频处理系统要求</w:t>
      </w:r>
    </w:p>
    <w:p>
      <w:pPr>
        <w:keepNext w:val="0"/>
        <w:keepLines w:val="0"/>
        <w:pageBreakBefore w:val="0"/>
        <w:numPr>
          <w:ilvl w:val="0"/>
          <w:numId w:val="2"/>
        </w:numPr>
        <w:kinsoku/>
        <w:wordWrap/>
        <w:overflowPunct/>
        <w:topLinePunct w:val="0"/>
        <w:bidi w:val="0"/>
        <w:spacing w:line="360" w:lineRule="auto"/>
        <w:contextualSpacing/>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具有强大的DSP处理能力</w:t>
      </w:r>
    </w:p>
    <w:p>
      <w:pPr>
        <w:keepNext w:val="0"/>
        <w:keepLines w:val="0"/>
        <w:pageBreakBefore w:val="0"/>
        <w:numPr>
          <w:ilvl w:val="0"/>
          <w:numId w:val="2"/>
        </w:numPr>
        <w:kinsoku/>
        <w:wordWrap/>
        <w:overflowPunct/>
        <w:topLinePunct w:val="0"/>
        <w:bidi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支持多台设备控制，组建大型系统</w:t>
      </w:r>
    </w:p>
    <w:p>
      <w:pPr>
        <w:pStyle w:val="7"/>
        <w:keepNext w:val="0"/>
        <w:keepLines w:val="0"/>
        <w:pageBreakBefore w:val="0"/>
        <w:kinsoku/>
        <w:wordWrap/>
        <w:overflowPunct/>
        <w:topLinePunct w:val="0"/>
        <w:bidi w:val="0"/>
        <w:spacing w:line="360" w:lineRule="auto"/>
        <w:ind w:firstLine="0" w:firstLineChars="0"/>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1.3.</w:t>
      </w:r>
      <w:r>
        <w:rPr>
          <w:rFonts w:hint="eastAsia" w:ascii="宋体" w:hAnsi="宋体" w:eastAsia="宋体" w:cs="宋体"/>
          <w:b/>
          <w:color w:val="auto"/>
          <w:sz w:val="24"/>
          <w:szCs w:val="24"/>
          <w:highlight w:val="none"/>
          <w:lang w:val="en-US" w:eastAsia="zh-CN"/>
        </w:rPr>
        <w:t>2</w:t>
      </w:r>
      <w:r>
        <w:rPr>
          <w:rFonts w:hint="eastAsia" w:ascii="宋体" w:hAnsi="宋体" w:eastAsia="宋体" w:cs="宋体"/>
          <w:b/>
          <w:color w:val="auto"/>
          <w:sz w:val="24"/>
          <w:szCs w:val="24"/>
          <w:highlight w:val="none"/>
        </w:rPr>
        <w:t xml:space="preserve"> </w:t>
      </w:r>
      <w:r>
        <w:rPr>
          <w:rFonts w:hint="eastAsia" w:ascii="宋体" w:hAnsi="宋体" w:eastAsia="宋体" w:cs="宋体"/>
          <w:b/>
          <w:color w:val="auto"/>
          <w:sz w:val="24"/>
          <w:szCs w:val="24"/>
          <w:highlight w:val="none"/>
          <w:lang w:val="en-US" w:eastAsia="zh-CN"/>
        </w:rPr>
        <w:t>数字会议</w:t>
      </w:r>
      <w:r>
        <w:rPr>
          <w:rFonts w:hint="eastAsia" w:ascii="宋体" w:hAnsi="宋体" w:eastAsia="宋体" w:cs="宋体"/>
          <w:b/>
          <w:color w:val="auto"/>
          <w:sz w:val="24"/>
          <w:szCs w:val="24"/>
          <w:highlight w:val="none"/>
        </w:rPr>
        <w:t>系统</w:t>
      </w:r>
    </w:p>
    <w:p>
      <w:pPr>
        <w:pStyle w:val="7"/>
        <w:keepNext w:val="0"/>
        <w:keepLines w:val="0"/>
        <w:pageBreakBefore w:val="0"/>
        <w:kinsoku/>
        <w:wordWrap/>
        <w:overflowPunct/>
        <w:topLinePunct w:val="0"/>
        <w:bidi w:val="0"/>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要求采用</w:t>
      </w:r>
      <w:r>
        <w:rPr>
          <w:rFonts w:hint="eastAsia" w:ascii="宋体" w:hAnsi="宋体" w:eastAsia="宋体" w:cs="宋体"/>
          <w:color w:val="auto"/>
          <w:sz w:val="24"/>
          <w:szCs w:val="24"/>
          <w:highlight w:val="none"/>
        </w:rPr>
        <w:t>即插即用的</w:t>
      </w:r>
      <w:r>
        <w:rPr>
          <w:rFonts w:hint="eastAsia" w:ascii="宋体" w:hAnsi="宋体" w:eastAsia="宋体" w:cs="宋体"/>
          <w:color w:val="auto"/>
          <w:sz w:val="24"/>
          <w:szCs w:val="24"/>
          <w:highlight w:val="none"/>
          <w:lang w:eastAsia="zh-CN"/>
        </w:rPr>
        <w:t>数字</w:t>
      </w:r>
      <w:r>
        <w:rPr>
          <w:rFonts w:hint="eastAsia" w:ascii="宋体" w:hAnsi="宋体" w:eastAsia="宋体" w:cs="宋体"/>
          <w:color w:val="auto"/>
          <w:sz w:val="24"/>
          <w:szCs w:val="24"/>
          <w:highlight w:val="none"/>
        </w:rPr>
        <w:t>会议系统</w:t>
      </w:r>
      <w:r>
        <w:rPr>
          <w:rFonts w:hint="eastAsia" w:ascii="宋体" w:hAnsi="宋体" w:eastAsia="宋体" w:cs="宋体"/>
          <w:color w:val="auto"/>
          <w:sz w:val="24"/>
          <w:szCs w:val="24"/>
          <w:highlight w:val="none"/>
          <w:lang w:eastAsia="zh-CN"/>
        </w:rPr>
        <w:t>，主机具有会议录音功能，带内置存储的数字录音和USB录音，同时具有数字声学反馈抑制的功能</w:t>
      </w:r>
    </w:p>
    <w:p>
      <w:pPr>
        <w:pStyle w:val="7"/>
        <w:keepNext w:val="0"/>
        <w:keepLines w:val="0"/>
        <w:pageBreakBefore w:val="0"/>
        <w:kinsoku/>
        <w:wordWrap/>
        <w:overflowPunct/>
        <w:topLinePunct w:val="0"/>
        <w:bidi w:val="0"/>
        <w:spacing w:line="360" w:lineRule="auto"/>
        <w:ind w:left="0" w:leftChars="0" w:firstLine="0" w:firstLineChars="0"/>
        <w:rPr>
          <w:rFonts w:hint="eastAsia" w:ascii="宋体" w:hAnsi="宋体" w:eastAsia="宋体" w:cs="宋体"/>
          <w:color w:val="auto"/>
          <w:sz w:val="24"/>
          <w:szCs w:val="24"/>
          <w:highlight w:val="none"/>
        </w:rPr>
      </w:pPr>
    </w:p>
    <w:p>
      <w:pPr>
        <w:pStyle w:val="7"/>
        <w:keepNext w:val="0"/>
        <w:keepLines w:val="0"/>
        <w:pageBreakBefore w:val="0"/>
        <w:kinsoku/>
        <w:wordWrap/>
        <w:overflowPunct/>
        <w:topLinePunct w:val="0"/>
        <w:bidi w:val="0"/>
        <w:spacing w:line="360" w:lineRule="auto"/>
        <w:ind w:firstLine="0" w:firstLineChars="0"/>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 xml:space="preserve">1.3.3 </w:t>
      </w:r>
      <w:r>
        <w:rPr>
          <w:rFonts w:hint="eastAsia" w:ascii="宋体" w:hAnsi="宋体" w:eastAsia="宋体" w:cs="宋体"/>
          <w:b/>
          <w:color w:val="auto"/>
          <w:sz w:val="24"/>
          <w:szCs w:val="24"/>
          <w:highlight w:val="none"/>
          <w:lang w:val="en-US" w:eastAsia="zh-CN"/>
        </w:rPr>
        <w:t>LED大屏</w:t>
      </w:r>
      <w:r>
        <w:rPr>
          <w:rFonts w:hint="eastAsia" w:ascii="宋体" w:hAnsi="宋体" w:eastAsia="宋体" w:cs="宋体"/>
          <w:b/>
          <w:color w:val="auto"/>
          <w:sz w:val="24"/>
          <w:szCs w:val="24"/>
          <w:highlight w:val="none"/>
        </w:rPr>
        <w:t>显示系统</w:t>
      </w:r>
    </w:p>
    <w:p>
      <w:pPr>
        <w:pStyle w:val="7"/>
        <w:keepNext w:val="0"/>
        <w:keepLines w:val="0"/>
        <w:pageBreakBefore w:val="0"/>
        <w:kinsoku/>
        <w:wordWrap/>
        <w:overflowPunct/>
        <w:topLinePunct w:val="0"/>
        <w:bidi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现场大屏放置处，宽为7.3米，高为4米，考虑到观看LED显示屏视角的舒适性和整个大厅尺寸的协调性以及屏幕的视角辐射范围， LED显示屏的显示净尺寸为高度不小于2.88米，宽度不小于4.48米.面积不小于12.9㎡。</w:t>
      </w:r>
    </w:p>
    <w:p>
      <w:pPr>
        <w:pStyle w:val="7"/>
        <w:keepNext w:val="0"/>
        <w:keepLines w:val="0"/>
        <w:pageBreakBefore w:val="0"/>
        <w:kinsoku/>
        <w:wordWrap/>
        <w:overflowPunct/>
        <w:topLinePunct w:val="0"/>
        <w:bidi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考虑到设备的先进性以及指挥中心对屏幕的亮度、对比度和视角范围的要求，采用像素间距不大于1.56mm的LED小间距系列产品作为本项目的显示主体。</w:t>
      </w:r>
    </w:p>
    <w:p>
      <w:pPr>
        <w:pStyle w:val="7"/>
        <w:keepNext w:val="0"/>
        <w:keepLines w:val="0"/>
        <w:pageBreakBefore w:val="0"/>
        <w:kinsoku/>
        <w:wordWrap/>
        <w:overflowPunct/>
        <w:topLinePunct w:val="0"/>
        <w:bidi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采用像素点间距小于1.56的 LED全彩屏，达到真正的无缝拼接，提高屏幕亮度，扩展可视角度，丰富屏幕色彩对比度和饱和度，全面提升屏幕显示效果，满足参观和日常使用的需要。</w:t>
      </w:r>
    </w:p>
    <w:p>
      <w:pPr>
        <w:pStyle w:val="7"/>
        <w:keepNext w:val="0"/>
        <w:keepLines w:val="0"/>
        <w:pageBreakBefore w:val="0"/>
        <w:kinsoku/>
        <w:wordWrap/>
        <w:overflowPunct/>
        <w:topLinePunct w:val="0"/>
        <w:bidi w:val="0"/>
        <w:spacing w:line="360" w:lineRule="auto"/>
        <w:ind w:firstLine="480" w:firstLineChars="200"/>
        <w:rPr>
          <w:rFonts w:hint="eastAsia" w:ascii="宋体" w:hAnsi="宋体" w:eastAsia="宋体" w:cs="宋体"/>
          <w:color w:val="auto"/>
          <w:sz w:val="24"/>
          <w:szCs w:val="24"/>
          <w:highlight w:val="none"/>
        </w:rPr>
      </w:pPr>
    </w:p>
    <w:p>
      <w:pPr>
        <w:pStyle w:val="7"/>
        <w:keepNext w:val="0"/>
        <w:keepLines w:val="0"/>
        <w:pageBreakBefore w:val="0"/>
        <w:tabs>
          <w:tab w:val="left" w:pos="720"/>
        </w:tabs>
        <w:kinsoku/>
        <w:wordWrap/>
        <w:overflowPunct/>
        <w:topLinePunct w:val="0"/>
        <w:bidi w:val="0"/>
        <w:spacing w:line="360" w:lineRule="auto"/>
        <w:ind w:firstLine="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1.3.4 远程视频会议系统</w:t>
      </w:r>
    </w:p>
    <w:p>
      <w:pPr>
        <w:pStyle w:val="7"/>
        <w:keepNext w:val="0"/>
        <w:keepLines w:val="0"/>
        <w:pageBreakBefore w:val="0"/>
        <w:kinsoku/>
        <w:wordWrap/>
        <w:overflowPunct/>
        <w:topLinePunct w:val="0"/>
        <w:bidi w:val="0"/>
        <w:spacing w:line="360" w:lineRule="auto"/>
        <w:ind w:left="0" w:leftChars="0"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会议视频接入接口不小于</w:t>
      </w:r>
      <w:r>
        <w:rPr>
          <w:rFonts w:hint="eastAsia" w:ascii="宋体" w:hAnsi="宋体" w:eastAsia="宋体" w:cs="宋体"/>
          <w:color w:val="auto"/>
          <w:sz w:val="24"/>
          <w:szCs w:val="24"/>
          <w:highlight w:val="none"/>
          <w:lang w:val="en-US" w:eastAsia="zh-CN"/>
        </w:rPr>
        <w:t>16</w:t>
      </w:r>
      <w:r>
        <w:rPr>
          <w:rFonts w:hint="eastAsia" w:ascii="宋体" w:hAnsi="宋体" w:eastAsia="宋体" w:cs="宋体"/>
          <w:color w:val="auto"/>
          <w:sz w:val="24"/>
          <w:szCs w:val="24"/>
          <w:highlight w:val="none"/>
        </w:rPr>
        <w:t>个</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向上：可连接省、市应急指挥中心（平台），可连接国家局、省、市气象会商平台，向下：可连接相关性部门、各镇区视频会议平台</w:t>
      </w:r>
      <w:r>
        <w:rPr>
          <w:rFonts w:hint="eastAsia" w:ascii="宋体" w:hAnsi="宋体" w:eastAsia="宋体" w:cs="宋体"/>
          <w:color w:val="auto"/>
          <w:sz w:val="24"/>
          <w:szCs w:val="24"/>
          <w:highlight w:val="none"/>
          <w:lang w:eastAsia="zh-CN"/>
        </w:rPr>
        <w:t>。</w:t>
      </w:r>
    </w:p>
    <w:p>
      <w:pPr>
        <w:pStyle w:val="7"/>
        <w:keepNext w:val="0"/>
        <w:keepLines w:val="0"/>
        <w:pageBreakBefore w:val="0"/>
        <w:kinsoku/>
        <w:wordWrap/>
        <w:overflowPunct/>
        <w:topLinePunct w:val="0"/>
        <w:bidi w:val="0"/>
        <w:spacing w:line="360" w:lineRule="auto"/>
        <w:ind w:left="0" w:leftChars="0" w:firstLine="0" w:firstLineChars="0"/>
        <w:rPr>
          <w:rFonts w:hint="eastAsia" w:ascii="宋体" w:hAnsi="宋体" w:eastAsia="宋体" w:cs="宋体"/>
          <w:color w:val="auto"/>
          <w:sz w:val="24"/>
          <w:szCs w:val="24"/>
          <w:highlight w:val="none"/>
        </w:rPr>
      </w:pPr>
    </w:p>
    <w:p>
      <w:pPr>
        <w:pStyle w:val="7"/>
        <w:keepNext w:val="0"/>
        <w:keepLines w:val="0"/>
        <w:pageBreakBefore w:val="0"/>
        <w:tabs>
          <w:tab w:val="left" w:pos="720"/>
        </w:tabs>
        <w:kinsoku/>
        <w:wordWrap/>
        <w:overflowPunct/>
        <w:topLinePunct w:val="0"/>
        <w:bidi w:val="0"/>
        <w:spacing w:line="360" w:lineRule="auto"/>
        <w:ind w:firstLine="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1.3.</w:t>
      </w:r>
      <w:r>
        <w:rPr>
          <w:rFonts w:hint="eastAsia" w:ascii="宋体" w:hAnsi="宋体" w:eastAsia="宋体" w:cs="宋体"/>
          <w:b/>
          <w:color w:val="auto"/>
          <w:sz w:val="24"/>
          <w:szCs w:val="24"/>
          <w:highlight w:val="none"/>
          <w:lang w:val="en-US" w:eastAsia="zh-CN"/>
        </w:rPr>
        <w:t>5</w:t>
      </w:r>
      <w:r>
        <w:rPr>
          <w:rFonts w:hint="eastAsia" w:ascii="宋体" w:hAnsi="宋体" w:eastAsia="宋体" w:cs="宋体"/>
          <w:b/>
          <w:color w:val="auto"/>
          <w:sz w:val="24"/>
          <w:szCs w:val="24"/>
          <w:highlight w:val="none"/>
        </w:rPr>
        <w:t xml:space="preserve"> KVM分布式坐席综合管理系统</w:t>
      </w:r>
    </w:p>
    <w:p>
      <w:pPr>
        <w:pStyle w:val="7"/>
        <w:keepNext w:val="0"/>
        <w:keepLines w:val="0"/>
        <w:pageBreakBefore w:val="0"/>
        <w:kinsoku/>
        <w:wordWrap/>
        <w:overflowPunct/>
        <w:topLinePunct w:val="0"/>
        <w:bidi w:val="0"/>
        <w:spacing w:line="360" w:lineRule="auto"/>
        <w:ind w:firstLine="480" w:firstLineChars="200"/>
        <w:contextualSpacing/>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会场的</w:t>
      </w:r>
      <w:r>
        <w:rPr>
          <w:rFonts w:hint="eastAsia" w:ascii="宋体" w:hAnsi="宋体" w:eastAsia="宋体" w:cs="宋体"/>
          <w:color w:val="auto"/>
          <w:sz w:val="24"/>
          <w:szCs w:val="24"/>
          <w:highlight w:val="none"/>
        </w:rPr>
        <w:t>设计布局应满足各种日常</w:t>
      </w:r>
      <w:r>
        <w:rPr>
          <w:rFonts w:hint="eastAsia" w:ascii="宋体" w:hAnsi="宋体" w:eastAsia="宋体" w:cs="宋体"/>
          <w:color w:val="auto"/>
          <w:sz w:val="24"/>
          <w:szCs w:val="24"/>
          <w:highlight w:val="none"/>
          <w:lang w:val="en-US" w:eastAsia="zh-CN"/>
        </w:rPr>
        <w:t>监控</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办公</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会议、信息发布、</w:t>
      </w:r>
      <w:r>
        <w:rPr>
          <w:rFonts w:hint="eastAsia" w:ascii="宋体" w:hAnsi="宋体" w:eastAsia="宋体" w:cs="宋体"/>
          <w:color w:val="auto"/>
          <w:sz w:val="24"/>
          <w:szCs w:val="24"/>
          <w:highlight w:val="none"/>
        </w:rPr>
        <w:t>指挥调度</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告警联动</w:t>
      </w:r>
      <w:r>
        <w:rPr>
          <w:rFonts w:hint="eastAsia" w:ascii="宋体" w:hAnsi="宋体" w:eastAsia="宋体" w:cs="宋体"/>
          <w:color w:val="auto"/>
          <w:sz w:val="24"/>
          <w:szCs w:val="24"/>
          <w:highlight w:val="none"/>
        </w:rPr>
        <w:t>的需要</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也为各系统正常运行提供必要的基础支撑环境</w:t>
      </w:r>
      <w:r>
        <w:rPr>
          <w:rFonts w:hint="eastAsia" w:ascii="宋体" w:hAnsi="宋体" w:eastAsia="宋体" w:cs="宋体"/>
          <w:color w:val="auto"/>
          <w:sz w:val="24"/>
          <w:szCs w:val="24"/>
          <w:highlight w:val="none"/>
          <w:lang w:eastAsia="zh-CN"/>
        </w:rPr>
        <w:t>。要求系统具有系统</w:t>
      </w:r>
      <w:r>
        <w:rPr>
          <w:rFonts w:hint="eastAsia" w:ascii="宋体" w:hAnsi="宋体" w:eastAsia="宋体" w:cs="宋体"/>
          <w:color w:val="auto"/>
          <w:sz w:val="24"/>
          <w:szCs w:val="24"/>
          <w:highlight w:val="none"/>
        </w:rPr>
        <w:t>包括通讯、视频、会议、调度、协同等功能</w:t>
      </w:r>
    </w:p>
    <w:p>
      <w:pPr>
        <w:pStyle w:val="7"/>
        <w:keepNext w:val="0"/>
        <w:keepLines w:val="0"/>
        <w:pageBreakBefore w:val="0"/>
        <w:kinsoku/>
        <w:wordWrap/>
        <w:overflowPunct/>
        <w:topLinePunct w:val="0"/>
        <w:bidi w:val="0"/>
        <w:spacing w:line="360" w:lineRule="auto"/>
        <w:ind w:firstLine="480" w:firstLineChars="200"/>
        <w:contextualSpacing/>
        <w:rPr>
          <w:rFonts w:hint="eastAsia" w:ascii="宋体" w:hAnsi="宋体" w:eastAsia="宋体" w:cs="宋体"/>
          <w:color w:val="auto"/>
          <w:sz w:val="24"/>
          <w:szCs w:val="24"/>
          <w:highlight w:val="none"/>
        </w:rPr>
      </w:pPr>
    </w:p>
    <w:p>
      <w:pPr>
        <w:pStyle w:val="7"/>
        <w:keepNext w:val="0"/>
        <w:keepLines w:val="0"/>
        <w:pageBreakBefore w:val="0"/>
        <w:tabs>
          <w:tab w:val="left" w:pos="720"/>
        </w:tabs>
        <w:kinsoku/>
        <w:wordWrap/>
        <w:overflowPunct/>
        <w:topLinePunct w:val="0"/>
        <w:bidi w:val="0"/>
        <w:spacing w:line="360" w:lineRule="auto"/>
        <w:ind w:firstLine="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1.3.</w:t>
      </w:r>
      <w:r>
        <w:rPr>
          <w:rFonts w:hint="eastAsia" w:ascii="宋体" w:hAnsi="宋体" w:eastAsia="宋体" w:cs="宋体"/>
          <w:b/>
          <w:color w:val="auto"/>
          <w:sz w:val="24"/>
          <w:szCs w:val="24"/>
          <w:highlight w:val="none"/>
          <w:lang w:val="en-US" w:eastAsia="zh-CN"/>
        </w:rPr>
        <w:t>6</w:t>
      </w:r>
      <w:r>
        <w:rPr>
          <w:rFonts w:hint="eastAsia" w:ascii="宋体" w:hAnsi="宋体" w:eastAsia="宋体" w:cs="宋体"/>
          <w:b/>
          <w:color w:val="auto"/>
          <w:sz w:val="24"/>
          <w:szCs w:val="24"/>
          <w:highlight w:val="none"/>
        </w:rPr>
        <w:t xml:space="preserve"> </w:t>
      </w:r>
      <w:r>
        <w:rPr>
          <w:rFonts w:hint="eastAsia" w:ascii="宋体" w:hAnsi="宋体" w:eastAsia="宋体" w:cs="宋体"/>
          <w:b/>
          <w:color w:val="auto"/>
          <w:sz w:val="24"/>
          <w:szCs w:val="24"/>
          <w:highlight w:val="none"/>
          <w:lang w:val="en-US" w:eastAsia="zh-CN"/>
        </w:rPr>
        <w:t>UPS</w:t>
      </w:r>
      <w:r>
        <w:rPr>
          <w:rFonts w:hint="eastAsia" w:ascii="宋体" w:hAnsi="宋体" w:eastAsia="宋体" w:cs="宋体"/>
          <w:b/>
          <w:color w:val="auto"/>
          <w:sz w:val="24"/>
          <w:szCs w:val="24"/>
          <w:highlight w:val="none"/>
        </w:rPr>
        <w:t>系统</w:t>
      </w:r>
    </w:p>
    <w:p>
      <w:pPr>
        <w:pStyle w:val="7"/>
        <w:keepNext w:val="0"/>
        <w:keepLines w:val="0"/>
        <w:pageBreakBefore w:val="0"/>
        <w:kinsoku/>
        <w:wordWrap/>
        <w:overflowPunct/>
        <w:topLinePunct w:val="0"/>
        <w:bidi w:val="0"/>
        <w:spacing w:line="360" w:lineRule="auto"/>
        <w:ind w:firstLine="480" w:firstLineChars="200"/>
        <w:contextualSpacing/>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可维持该应急指挥中心大屏、会议系统、计算机网络系统、办公正常工作</w:t>
      </w:r>
      <w:r>
        <w:rPr>
          <w:rFonts w:hint="eastAsia" w:ascii="宋体" w:hAnsi="宋体" w:eastAsia="宋体" w:cs="宋体"/>
          <w:color w:val="auto"/>
          <w:sz w:val="24"/>
          <w:szCs w:val="24"/>
          <w:highlight w:val="none"/>
          <w:lang w:eastAsia="zh-CN"/>
        </w:rPr>
        <w:t>等</w:t>
      </w:r>
      <w:r>
        <w:rPr>
          <w:rFonts w:hint="eastAsia" w:ascii="宋体" w:hAnsi="宋体" w:eastAsia="宋体" w:cs="宋体"/>
          <w:color w:val="auto"/>
          <w:sz w:val="24"/>
          <w:szCs w:val="24"/>
          <w:highlight w:val="none"/>
        </w:rPr>
        <w:t>3个小时以上。</w:t>
      </w:r>
    </w:p>
    <w:p>
      <w:pPr>
        <w:pStyle w:val="7"/>
        <w:keepNext w:val="0"/>
        <w:keepLines w:val="0"/>
        <w:pageBreakBefore w:val="0"/>
        <w:kinsoku/>
        <w:wordWrap/>
        <w:overflowPunct/>
        <w:topLinePunct w:val="0"/>
        <w:bidi w:val="0"/>
        <w:spacing w:line="360" w:lineRule="auto"/>
        <w:ind w:firstLine="480" w:firstLineChars="200"/>
        <w:contextualSpacing/>
        <w:rPr>
          <w:rFonts w:hint="eastAsia" w:ascii="宋体" w:hAnsi="宋体" w:eastAsia="宋体" w:cs="宋体"/>
          <w:color w:val="auto"/>
          <w:sz w:val="24"/>
          <w:szCs w:val="24"/>
          <w:highlight w:val="none"/>
        </w:rPr>
      </w:pPr>
    </w:p>
    <w:p>
      <w:pPr>
        <w:pStyle w:val="7"/>
        <w:keepNext w:val="0"/>
        <w:keepLines w:val="0"/>
        <w:pageBreakBefore w:val="0"/>
        <w:tabs>
          <w:tab w:val="left" w:pos="720"/>
        </w:tabs>
        <w:kinsoku/>
        <w:wordWrap/>
        <w:overflowPunct/>
        <w:topLinePunct w:val="0"/>
        <w:bidi w:val="0"/>
        <w:spacing w:line="360" w:lineRule="auto"/>
        <w:ind w:firstLine="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1.3.</w:t>
      </w:r>
      <w:r>
        <w:rPr>
          <w:rFonts w:hint="eastAsia" w:ascii="宋体" w:hAnsi="宋体" w:eastAsia="宋体" w:cs="宋体"/>
          <w:b/>
          <w:color w:val="auto"/>
          <w:sz w:val="24"/>
          <w:szCs w:val="24"/>
          <w:highlight w:val="none"/>
          <w:lang w:val="en-US" w:eastAsia="zh-CN"/>
        </w:rPr>
        <w:t>6</w:t>
      </w:r>
      <w:r>
        <w:rPr>
          <w:rFonts w:hint="eastAsia" w:ascii="宋体" w:hAnsi="宋体" w:eastAsia="宋体" w:cs="宋体"/>
          <w:b/>
          <w:color w:val="auto"/>
          <w:sz w:val="24"/>
          <w:szCs w:val="24"/>
          <w:highlight w:val="none"/>
        </w:rPr>
        <w:t xml:space="preserve"> </w:t>
      </w:r>
      <w:r>
        <w:rPr>
          <w:rFonts w:hint="eastAsia" w:ascii="宋体" w:hAnsi="宋体" w:eastAsia="宋体" w:cs="宋体"/>
          <w:b/>
          <w:color w:val="auto"/>
          <w:sz w:val="24"/>
          <w:szCs w:val="24"/>
          <w:highlight w:val="none"/>
          <w:lang w:val="en-US" w:eastAsia="zh-CN"/>
        </w:rPr>
        <w:t>其他设备</w:t>
      </w:r>
    </w:p>
    <w:p>
      <w:pPr>
        <w:pStyle w:val="7"/>
        <w:keepNext w:val="0"/>
        <w:keepLines w:val="0"/>
        <w:pageBreakBefore w:val="0"/>
        <w:kinsoku/>
        <w:wordWrap/>
        <w:overflowPunct/>
        <w:topLinePunct w:val="0"/>
        <w:bidi w:val="0"/>
        <w:spacing w:line="360" w:lineRule="auto"/>
        <w:ind w:firstLine="720" w:firstLineChars="3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满足清单要求</w:t>
      </w:r>
    </w:p>
    <w:p>
      <w:pPr>
        <w:keepNext w:val="0"/>
        <w:keepLines w:val="0"/>
        <w:pageBreakBefore w:val="0"/>
        <w:widowControl w:val="0"/>
        <w:kinsoku/>
        <w:wordWrap/>
        <w:overflowPunct/>
        <w:topLinePunct w:val="0"/>
        <w:autoSpaceDE w:val="0"/>
        <w:autoSpaceDN w:val="0"/>
        <w:bidi w:val="0"/>
        <w:adjustRightInd/>
        <w:snapToGrid/>
        <w:spacing w:line="360" w:lineRule="auto"/>
        <w:jc w:val="both"/>
        <w:textAlignment w:val="auto"/>
        <w:rPr>
          <w:rFonts w:hint="eastAsia" w:ascii="宋体" w:hAnsi="宋体" w:eastAsia="宋体" w:cs="宋体"/>
          <w:sz w:val="24"/>
          <w:szCs w:val="24"/>
          <w:highlight w:val="none"/>
        </w:rPr>
      </w:pPr>
    </w:p>
    <w:p>
      <w:pPr>
        <w:keepNext w:val="0"/>
        <w:keepLines w:val="0"/>
        <w:pageBreakBefore w:val="0"/>
        <w:widowControl w:val="0"/>
        <w:kinsoku/>
        <w:wordWrap/>
        <w:overflowPunct/>
        <w:topLinePunct w:val="0"/>
        <w:autoSpaceDE w:val="0"/>
        <w:autoSpaceDN w:val="0"/>
        <w:bidi w:val="0"/>
        <w:adjustRightInd/>
        <w:snapToGrid/>
        <w:spacing w:before="157" w:beforeLines="50" w:after="157" w:afterLines="50" w:line="360" w:lineRule="auto"/>
        <w:ind w:firstLine="562" w:firstLineChars="200"/>
        <w:jc w:val="both"/>
        <w:textAlignment w:val="auto"/>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第三项、付款方式：</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在合同签订后，付合同价款的40%费用，完成送审报告并通过各级部门评审合格并且将通过技术审查的工作成果提交省级以上开发区有关部门使用后，支付完剩余余款。付款时，须提供税收发票</w:t>
      </w:r>
      <w:r>
        <w:rPr>
          <w:rFonts w:hint="eastAsia" w:ascii="宋体" w:hAnsi="宋体" w:eastAsia="宋体" w:cs="宋体"/>
          <w:sz w:val="24"/>
          <w:szCs w:val="24"/>
          <w:highlight w:val="none"/>
          <w:lang w:val="en-US" w:eastAsia="zh-CN"/>
        </w:rPr>
        <w:t>。</w:t>
      </w:r>
      <w:r>
        <w:rPr>
          <w:rFonts w:hint="eastAsia" w:hAnsi="宋体" w:eastAsia="宋体" w:cs="宋体"/>
          <w:sz w:val="24"/>
          <w:szCs w:val="24"/>
          <w:highlight w:val="none"/>
          <w:lang w:val="en-US" w:eastAsia="zh-CN"/>
        </w:rPr>
        <w:t>（按以上进度付款，无任何利息补偿。）</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157" w:beforeLines="50" w:after="157" w:afterLines="50" w:line="360" w:lineRule="auto"/>
        <w:ind w:firstLine="562" w:firstLineChars="200"/>
        <w:jc w:val="both"/>
        <w:textAlignment w:val="auto"/>
        <w:rPr>
          <w:rFonts w:hint="eastAsia" w:ascii="宋体" w:hAnsi="宋体" w:eastAsia="宋体" w:cs="宋体"/>
          <w:szCs w:val="28"/>
          <w:highlight w:val="none"/>
        </w:rPr>
      </w:pPr>
      <w:r>
        <w:rPr>
          <w:rFonts w:hint="eastAsia" w:hAnsi="宋体" w:eastAsia="宋体" w:cs="宋体"/>
          <w:b/>
          <w:bCs/>
          <w:sz w:val="28"/>
          <w:szCs w:val="28"/>
          <w:highlight w:val="none"/>
          <w:lang w:val="en-US" w:eastAsia="zh-CN"/>
        </w:rPr>
        <w:t>第四项、</w:t>
      </w:r>
      <w:r>
        <w:rPr>
          <w:rFonts w:hint="eastAsia" w:ascii="宋体" w:hAnsi="宋体" w:eastAsia="宋体" w:cs="宋体"/>
          <w:b/>
          <w:bCs/>
          <w:sz w:val="28"/>
          <w:szCs w:val="28"/>
          <w:highlight w:val="none"/>
        </w:rPr>
        <w:t>工期要求：</w:t>
      </w:r>
      <w:bookmarkEnd w:id="1"/>
      <w:bookmarkEnd w:id="2"/>
      <w:bookmarkEnd w:id="3"/>
      <w:r>
        <w:rPr>
          <w:rFonts w:hint="eastAsia" w:hAnsi="宋体" w:eastAsia="宋体" w:cs="宋体"/>
          <w:sz w:val="24"/>
          <w:szCs w:val="24"/>
          <w:highlight w:val="none"/>
          <w:lang w:val="en-US" w:eastAsia="zh-CN"/>
        </w:rPr>
        <w:t>30</w:t>
      </w:r>
      <w:r>
        <w:rPr>
          <w:rFonts w:hint="eastAsia" w:ascii="宋体" w:hAnsi="宋体" w:eastAsia="宋体" w:cs="宋体"/>
          <w:sz w:val="24"/>
          <w:szCs w:val="24"/>
          <w:highlight w:val="none"/>
          <w:lang w:val="en-US" w:eastAsia="zh-CN"/>
        </w:rPr>
        <w:t>天</w:t>
      </w:r>
      <w:r>
        <w:rPr>
          <w:rFonts w:hint="eastAsia" w:hAnsi="宋体" w:eastAsia="宋体" w:cs="宋体"/>
          <w:sz w:val="24"/>
          <w:szCs w:val="24"/>
          <w:highlight w:val="none"/>
          <w:lang w:val="en-US" w:eastAsia="zh-CN"/>
        </w:rPr>
        <w:t>采购完成并安装调试完毕。</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157" w:beforeLines="50" w:after="157" w:afterLines="50" w:line="360" w:lineRule="auto"/>
        <w:ind w:firstLine="562" w:firstLineChars="200"/>
        <w:jc w:val="both"/>
        <w:textAlignment w:val="auto"/>
        <w:rPr>
          <w:rFonts w:hint="eastAsia" w:ascii="宋体" w:hAnsi="宋体" w:eastAsia="宋体" w:cs="宋体"/>
          <w:b/>
          <w:bCs/>
          <w:sz w:val="28"/>
          <w:szCs w:val="28"/>
          <w:highlight w:val="none"/>
        </w:rPr>
      </w:pPr>
      <w:r>
        <w:rPr>
          <w:rFonts w:hint="eastAsia" w:hAnsi="宋体" w:eastAsia="宋体" w:cs="宋体"/>
          <w:b/>
          <w:bCs/>
          <w:sz w:val="28"/>
          <w:szCs w:val="28"/>
          <w:highlight w:val="none"/>
          <w:lang w:val="en-US" w:eastAsia="zh-CN"/>
        </w:rPr>
        <w:t>第五项、</w:t>
      </w:r>
      <w:r>
        <w:rPr>
          <w:rFonts w:hint="eastAsia" w:hAnsi="宋体" w:eastAsia="宋体" w:cs="宋体"/>
          <w:b/>
          <w:bCs/>
          <w:sz w:val="28"/>
          <w:szCs w:val="28"/>
          <w:highlight w:val="none"/>
          <w:lang w:eastAsia="zh-CN"/>
        </w:rPr>
        <w:t>技术参数</w:t>
      </w:r>
      <w:r>
        <w:rPr>
          <w:rFonts w:hint="eastAsia" w:ascii="宋体" w:hAnsi="宋体" w:eastAsia="宋体" w:cs="宋体"/>
          <w:b/>
          <w:bCs/>
          <w:sz w:val="28"/>
          <w:szCs w:val="28"/>
          <w:highlight w:val="none"/>
        </w:rPr>
        <w:t>要求：</w:t>
      </w:r>
    </w:p>
    <w:tbl>
      <w:tblPr>
        <w:tblStyle w:val="5"/>
        <w:tblW w:w="5279" w:type="pct"/>
        <w:tblInd w:w="0" w:type="dxa"/>
        <w:tblLayout w:type="fixed"/>
        <w:tblCellMar>
          <w:top w:w="0" w:type="dxa"/>
          <w:left w:w="108" w:type="dxa"/>
          <w:bottom w:w="0" w:type="dxa"/>
          <w:right w:w="108" w:type="dxa"/>
        </w:tblCellMar>
      </w:tblPr>
      <w:tblGrid>
        <w:gridCol w:w="427"/>
        <w:gridCol w:w="1023"/>
        <w:gridCol w:w="5269"/>
        <w:gridCol w:w="529"/>
        <w:gridCol w:w="522"/>
        <w:gridCol w:w="1228"/>
      </w:tblGrid>
      <w:tr>
        <w:tblPrEx>
          <w:tblCellMar>
            <w:top w:w="0" w:type="dxa"/>
            <w:left w:w="108" w:type="dxa"/>
            <w:bottom w:w="0" w:type="dxa"/>
            <w:right w:w="108" w:type="dxa"/>
          </w:tblCellMar>
        </w:tblPrEx>
        <w:trPr>
          <w:trHeight w:val="270" w:hRule="atLeast"/>
        </w:trPr>
        <w:tc>
          <w:tcPr>
            <w:tcW w:w="237"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宋体" w:cs="宋体"/>
                <w:b/>
                <w:bCs/>
                <w:color w:val="000000"/>
                <w:kern w:val="0"/>
                <w:sz w:val="20"/>
                <w:szCs w:val="20"/>
                <w:highlight w:val="none"/>
              </w:rPr>
            </w:pPr>
            <w:r>
              <w:rPr>
                <w:rFonts w:hint="eastAsia" w:ascii="宋体" w:hAnsi="宋体" w:eastAsia="宋体" w:cs="宋体"/>
                <w:b/>
                <w:bCs/>
                <w:color w:val="000000"/>
                <w:kern w:val="0"/>
                <w:sz w:val="20"/>
                <w:szCs w:val="20"/>
                <w:highlight w:val="none"/>
              </w:rPr>
              <w:t>序号</w:t>
            </w:r>
          </w:p>
        </w:tc>
        <w:tc>
          <w:tcPr>
            <w:tcW w:w="568"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bCs/>
                <w:color w:val="000000"/>
                <w:kern w:val="0"/>
                <w:sz w:val="20"/>
                <w:szCs w:val="20"/>
                <w:highlight w:val="none"/>
              </w:rPr>
            </w:pPr>
            <w:r>
              <w:rPr>
                <w:rFonts w:hint="eastAsia" w:ascii="宋体" w:hAnsi="宋体" w:eastAsia="宋体" w:cs="宋体"/>
                <w:b/>
                <w:bCs/>
                <w:color w:val="000000"/>
                <w:kern w:val="0"/>
                <w:sz w:val="20"/>
                <w:szCs w:val="20"/>
                <w:highlight w:val="none"/>
              </w:rPr>
              <w:t>设备名称</w:t>
            </w:r>
          </w:p>
        </w:tc>
        <w:tc>
          <w:tcPr>
            <w:tcW w:w="2927"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bCs/>
                <w:color w:val="000000"/>
                <w:kern w:val="0"/>
                <w:sz w:val="20"/>
                <w:szCs w:val="20"/>
                <w:highlight w:val="none"/>
              </w:rPr>
            </w:pPr>
            <w:r>
              <w:rPr>
                <w:rFonts w:hint="eastAsia" w:ascii="宋体" w:hAnsi="宋体" w:eastAsia="宋体" w:cs="宋体"/>
                <w:b/>
                <w:bCs/>
                <w:color w:val="000000"/>
                <w:kern w:val="0"/>
                <w:sz w:val="20"/>
                <w:szCs w:val="20"/>
                <w:highlight w:val="none"/>
              </w:rPr>
              <w:t>技术参数</w:t>
            </w:r>
          </w:p>
        </w:tc>
        <w:tc>
          <w:tcPr>
            <w:tcW w:w="293" w:type="pct"/>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b/>
                <w:bCs/>
                <w:color w:val="000000"/>
                <w:kern w:val="0"/>
                <w:sz w:val="20"/>
                <w:szCs w:val="20"/>
                <w:highlight w:val="none"/>
              </w:rPr>
            </w:pPr>
            <w:r>
              <w:rPr>
                <w:rFonts w:hint="eastAsia" w:ascii="宋体" w:hAnsi="宋体" w:eastAsia="宋体" w:cs="宋体"/>
                <w:b/>
                <w:bCs/>
                <w:color w:val="000000"/>
                <w:kern w:val="0"/>
                <w:sz w:val="20"/>
                <w:szCs w:val="20"/>
                <w:highlight w:val="none"/>
              </w:rPr>
              <w:t>单位</w:t>
            </w:r>
          </w:p>
        </w:tc>
        <w:tc>
          <w:tcPr>
            <w:tcW w:w="290"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bCs/>
                <w:color w:val="000000"/>
                <w:kern w:val="0"/>
                <w:sz w:val="20"/>
                <w:szCs w:val="20"/>
                <w:highlight w:val="none"/>
              </w:rPr>
            </w:pPr>
            <w:r>
              <w:rPr>
                <w:rFonts w:hint="eastAsia" w:ascii="宋体" w:hAnsi="宋体" w:eastAsia="宋体" w:cs="宋体"/>
                <w:b/>
                <w:bCs/>
                <w:color w:val="000000"/>
                <w:kern w:val="0"/>
                <w:sz w:val="20"/>
                <w:szCs w:val="20"/>
                <w:highlight w:val="none"/>
              </w:rPr>
              <w:t>数量</w:t>
            </w:r>
          </w:p>
        </w:tc>
        <w:tc>
          <w:tcPr>
            <w:tcW w:w="682"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bCs/>
                <w:color w:val="000000"/>
                <w:kern w:val="0"/>
                <w:sz w:val="20"/>
                <w:szCs w:val="20"/>
                <w:highlight w:val="none"/>
              </w:rPr>
            </w:pPr>
            <w:r>
              <w:rPr>
                <w:rFonts w:hint="eastAsia" w:ascii="宋体" w:hAnsi="宋体" w:eastAsia="宋体" w:cs="宋体"/>
                <w:b/>
                <w:bCs/>
                <w:color w:val="000000"/>
                <w:kern w:val="0"/>
                <w:sz w:val="20"/>
                <w:szCs w:val="20"/>
                <w:highlight w:val="none"/>
              </w:rPr>
              <w:t>推荐品牌</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bCs/>
                <w:color w:val="000000"/>
                <w:kern w:val="0"/>
                <w:sz w:val="20"/>
                <w:szCs w:val="20"/>
                <w:highlight w:val="none"/>
              </w:rPr>
            </w:pPr>
            <w:r>
              <w:rPr>
                <w:rFonts w:hint="eastAsia" w:ascii="宋体" w:hAnsi="宋体" w:eastAsia="宋体" w:cs="宋体"/>
                <w:b/>
                <w:bCs/>
                <w:color w:val="000000"/>
                <w:kern w:val="0"/>
                <w:sz w:val="20"/>
                <w:szCs w:val="20"/>
                <w:highlight w:val="none"/>
              </w:rPr>
              <w:t>A</w:t>
            </w:r>
          </w:p>
        </w:tc>
        <w:tc>
          <w:tcPr>
            <w:tcW w:w="568"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kern w:val="0"/>
                <w:sz w:val="20"/>
                <w:szCs w:val="20"/>
                <w:highlight w:val="none"/>
              </w:rPr>
            </w:pPr>
            <w:r>
              <w:rPr>
                <w:rFonts w:hint="eastAsia" w:ascii="宋体" w:hAnsi="宋体" w:eastAsia="宋体" w:cs="宋体"/>
                <w:b/>
                <w:bCs/>
                <w:color w:val="000000"/>
                <w:kern w:val="0"/>
                <w:sz w:val="20"/>
                <w:szCs w:val="20"/>
                <w:highlight w:val="none"/>
              </w:rPr>
              <w:t>扩声系统</w:t>
            </w:r>
          </w:p>
        </w:tc>
        <w:tc>
          <w:tcPr>
            <w:tcW w:w="2927"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w:t>
            </w:r>
          </w:p>
        </w:tc>
        <w:tc>
          <w:tcPr>
            <w:tcW w:w="293"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w:t>
            </w:r>
          </w:p>
        </w:tc>
        <w:tc>
          <w:tcPr>
            <w:tcW w:w="290"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w:t>
            </w:r>
          </w:p>
        </w:tc>
        <w:tc>
          <w:tcPr>
            <w:tcW w:w="682"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w:t>
            </w:r>
          </w:p>
        </w:tc>
        <w:tc>
          <w:tcPr>
            <w:tcW w:w="568"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超薄组合式阵列音箱</w:t>
            </w:r>
          </w:p>
        </w:tc>
        <w:tc>
          <w:tcPr>
            <w:tcW w:w="2927" w:type="pct"/>
            <w:tcBorders>
              <w:top w:val="nil"/>
              <w:left w:val="nil"/>
              <w:bottom w:val="single" w:color="auto" w:sz="4" w:space="0"/>
              <w:right w:val="single" w:color="auto" w:sz="4" w:space="0"/>
            </w:tcBorders>
            <w:noWrap w:val="0"/>
            <w:vAlign w:val="top"/>
          </w:tcPr>
          <w:p>
            <w:pPr>
              <w:widowControl/>
              <w:jc w:val="left"/>
              <w:rPr>
                <w:rFonts w:ascii="宋体" w:hAnsi="宋体" w:eastAsia="宋体" w:cs="楷体"/>
                <w:kern w:val="0"/>
                <w:sz w:val="18"/>
                <w:szCs w:val="18"/>
                <w:highlight w:val="none"/>
              </w:rPr>
            </w:pPr>
            <w:r>
              <w:rPr>
                <w:rFonts w:hint="eastAsia" w:ascii="宋体" w:hAnsi="宋体" w:eastAsia="宋体" w:cs="楷体"/>
                <w:kern w:val="0"/>
                <w:sz w:val="18"/>
                <w:szCs w:val="18"/>
                <w:highlight w:val="none"/>
              </w:rPr>
              <w:t>1、采用直接声频耦合（SDCT）阵列技术音柱</w:t>
            </w:r>
            <w:r>
              <w:rPr>
                <w:rFonts w:hint="eastAsia" w:ascii="宋体" w:hAnsi="宋体" w:eastAsia="宋体" w:cs="楷体"/>
                <w:kern w:val="0"/>
                <w:sz w:val="18"/>
                <w:szCs w:val="18"/>
                <w:highlight w:val="none"/>
              </w:rPr>
              <w:br w:type="textWrapping"/>
            </w:r>
            <w:r>
              <w:rPr>
                <w:rFonts w:hint="eastAsia" w:ascii="宋体" w:hAnsi="宋体" w:eastAsia="宋体" w:cs="楷体"/>
                <w:kern w:val="0"/>
                <w:sz w:val="18"/>
                <w:szCs w:val="18"/>
                <w:highlight w:val="none"/>
              </w:rPr>
              <w:t>2、频率响应优于： 90Hz-18kHz</w:t>
            </w:r>
            <w:r>
              <w:rPr>
                <w:rFonts w:hint="eastAsia" w:ascii="宋体" w:hAnsi="宋体" w:eastAsia="宋体" w:cs="楷体"/>
                <w:kern w:val="0"/>
                <w:sz w:val="18"/>
                <w:szCs w:val="18"/>
                <w:highlight w:val="none"/>
              </w:rPr>
              <w:br w:type="textWrapping"/>
            </w:r>
            <w:r>
              <w:rPr>
                <w:rFonts w:hint="eastAsia" w:ascii="宋体" w:hAnsi="宋体" w:eastAsia="宋体" w:cs="楷体"/>
                <w:kern w:val="0"/>
                <w:sz w:val="18"/>
                <w:szCs w:val="18"/>
                <w:highlight w:val="none"/>
              </w:rPr>
              <w:t>3、功率不低于120W</w:t>
            </w:r>
            <w:r>
              <w:rPr>
                <w:rFonts w:hint="eastAsia" w:ascii="宋体" w:hAnsi="宋体" w:eastAsia="宋体" w:cs="楷体"/>
                <w:kern w:val="0"/>
                <w:sz w:val="18"/>
                <w:szCs w:val="18"/>
                <w:highlight w:val="none"/>
              </w:rPr>
              <w:br w:type="textWrapping"/>
            </w:r>
            <w:r>
              <w:rPr>
                <w:rFonts w:hint="eastAsia" w:ascii="宋体" w:hAnsi="宋体" w:eastAsia="宋体" w:cs="楷体"/>
                <w:kern w:val="0"/>
                <w:sz w:val="18"/>
                <w:szCs w:val="18"/>
                <w:highlight w:val="none"/>
              </w:rPr>
              <w:t>4</w:t>
            </w:r>
            <w:r>
              <w:rPr>
                <w:rFonts w:hint="eastAsia" w:hAnsi="宋体" w:eastAsia="宋体" w:cs="楷体"/>
                <w:kern w:val="0"/>
                <w:sz w:val="18"/>
                <w:szCs w:val="18"/>
                <w:highlight w:val="none"/>
                <w:lang w:eastAsia="zh-CN"/>
              </w:rPr>
              <w:t>、</w:t>
            </w:r>
            <w:r>
              <w:rPr>
                <w:rFonts w:hint="eastAsia" w:ascii="宋体" w:hAnsi="宋体" w:eastAsia="宋体" w:cs="楷体"/>
                <w:kern w:val="0"/>
                <w:sz w:val="18"/>
                <w:szCs w:val="18"/>
                <w:highlight w:val="none"/>
              </w:rPr>
              <w:t>最大声压级不低于118dB</w:t>
            </w:r>
            <w:r>
              <w:rPr>
                <w:rFonts w:hint="eastAsia" w:ascii="宋体" w:hAnsi="宋体" w:eastAsia="宋体" w:cs="楷体"/>
                <w:kern w:val="0"/>
                <w:sz w:val="18"/>
                <w:szCs w:val="18"/>
                <w:highlight w:val="none"/>
              </w:rPr>
              <w:br w:type="textWrapping"/>
            </w:r>
            <w:r>
              <w:rPr>
                <w:rFonts w:hint="eastAsia" w:ascii="宋体" w:hAnsi="宋体" w:eastAsia="宋体" w:cs="楷体"/>
                <w:kern w:val="0"/>
                <w:sz w:val="18"/>
                <w:szCs w:val="18"/>
                <w:highlight w:val="none"/>
              </w:rPr>
              <w:t>5</w:t>
            </w:r>
            <w:r>
              <w:rPr>
                <w:rFonts w:hint="eastAsia" w:hAnsi="宋体" w:eastAsia="宋体" w:cs="楷体"/>
                <w:kern w:val="0"/>
                <w:sz w:val="18"/>
                <w:szCs w:val="18"/>
                <w:highlight w:val="none"/>
                <w:lang w:eastAsia="zh-CN"/>
              </w:rPr>
              <w:t>、</w:t>
            </w:r>
            <w:r>
              <w:rPr>
                <w:rFonts w:hint="eastAsia" w:ascii="宋体" w:hAnsi="宋体" w:eastAsia="宋体" w:cs="楷体"/>
                <w:kern w:val="0"/>
                <w:sz w:val="18"/>
                <w:szCs w:val="18"/>
                <w:highlight w:val="none"/>
              </w:rPr>
              <w:t>指向性：水平不低于100°，垂直不低于20°</w:t>
            </w:r>
            <w:r>
              <w:rPr>
                <w:rFonts w:hint="eastAsia" w:ascii="宋体" w:hAnsi="宋体" w:eastAsia="宋体" w:cs="楷体"/>
                <w:kern w:val="0"/>
                <w:sz w:val="18"/>
                <w:szCs w:val="18"/>
                <w:highlight w:val="none"/>
              </w:rPr>
              <w:br w:type="textWrapping"/>
            </w:r>
            <w:r>
              <w:rPr>
                <w:rFonts w:hint="eastAsia" w:hAnsi="宋体" w:eastAsia="宋体" w:cs="楷体"/>
                <w:kern w:val="0"/>
                <w:sz w:val="18"/>
                <w:szCs w:val="18"/>
                <w:highlight w:val="none"/>
                <w:lang w:val="en-US" w:eastAsia="zh-CN"/>
              </w:rPr>
              <w:t>6</w:t>
            </w:r>
            <w:r>
              <w:rPr>
                <w:rFonts w:hint="eastAsia" w:ascii="宋体" w:hAnsi="宋体" w:eastAsia="宋体" w:cs="楷体"/>
                <w:kern w:val="0"/>
                <w:sz w:val="18"/>
                <w:szCs w:val="18"/>
                <w:highlight w:val="none"/>
              </w:rPr>
              <w:t>、 可更换原木外壳，四种材质可选</w:t>
            </w:r>
          </w:p>
          <w:p>
            <w:pPr>
              <w:autoSpaceDE w:val="0"/>
              <w:autoSpaceDN w:val="0"/>
              <w:adjustRightInd w:val="0"/>
              <w:jc w:val="left"/>
              <w:rPr>
                <w:rFonts w:hint="eastAsia" w:ascii="楷体" w:eastAsia="楷体" w:cs="楷体"/>
                <w:kern w:val="0"/>
                <w:sz w:val="22"/>
                <w:highlight w:val="none"/>
              </w:rPr>
            </w:pPr>
            <w:r>
              <w:rPr>
                <w:rFonts w:hint="eastAsia" w:ascii="宋体" w:hAnsi="宋体" w:eastAsia="宋体" w:cs="宋体"/>
                <w:b/>
                <w:bCs/>
                <w:kern w:val="0"/>
                <w:sz w:val="18"/>
                <w:szCs w:val="18"/>
                <w:highlight w:val="none"/>
                <w:lang w:val="en-US" w:eastAsia="zh-CN"/>
              </w:rPr>
              <w:t>（以上参数项除特殊备注的项要求资料外，其余参数需提供佐证材料复印件加盖厂家公章逐项证明符合性，佐证材料不限于品牌官方网站介绍、品牌官方印刷的产品彩页、设备检测报告材料</w:t>
            </w:r>
            <w:r>
              <w:rPr>
                <w:rFonts w:hint="eastAsia" w:hAnsi="宋体" w:eastAsia="宋体" w:cs="楷体"/>
                <w:b/>
                <w:bCs/>
                <w:kern w:val="0"/>
                <w:sz w:val="18"/>
                <w:szCs w:val="18"/>
                <w:highlight w:val="none"/>
                <w:lang w:eastAsia="zh-CN"/>
              </w:rPr>
              <w:t>、产品厂家技术白皮书</w:t>
            </w:r>
            <w:r>
              <w:rPr>
                <w:rFonts w:hint="eastAsia" w:ascii="宋体" w:hAnsi="宋体" w:eastAsia="宋体" w:cs="宋体"/>
                <w:b/>
                <w:bCs/>
                <w:kern w:val="0"/>
                <w:sz w:val="18"/>
                <w:szCs w:val="18"/>
                <w:highlight w:val="none"/>
                <w:lang w:val="en-US" w:eastAsia="zh-CN"/>
              </w:rPr>
              <w:t>等，未提供视为负偏离项）</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只</w:t>
            </w:r>
          </w:p>
        </w:tc>
        <w:tc>
          <w:tcPr>
            <w:tcW w:w="290"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6</w:t>
            </w:r>
          </w:p>
        </w:tc>
        <w:tc>
          <w:tcPr>
            <w:tcW w:w="682"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楷体"/>
                <w:kern w:val="0"/>
                <w:sz w:val="18"/>
                <w:szCs w:val="18"/>
                <w:highlight w:val="none"/>
              </w:rPr>
              <w:t>ENEWAVE、truesound、soungpro</w:t>
            </w:r>
            <w:r>
              <w:rPr>
                <w:rFonts w:hint="eastAsia" w:ascii="宋体" w:hAnsi="宋体" w:eastAsia="宋体" w:cs="宋体"/>
                <w:color w:val="000000"/>
                <w:kern w:val="0"/>
                <w:sz w:val="20"/>
                <w:szCs w:val="20"/>
                <w:highlight w:val="none"/>
              </w:rPr>
              <w:t>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2</w:t>
            </w:r>
          </w:p>
        </w:tc>
        <w:tc>
          <w:tcPr>
            <w:tcW w:w="568"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专业功放</w:t>
            </w:r>
          </w:p>
        </w:tc>
        <w:tc>
          <w:tcPr>
            <w:tcW w:w="2927"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楷体"/>
                <w:kern w:val="0"/>
                <w:sz w:val="18"/>
                <w:szCs w:val="18"/>
                <w:highlight w:val="none"/>
              </w:rPr>
            </w:pPr>
            <w:r>
              <w:rPr>
                <w:rFonts w:hint="eastAsia" w:hAnsi="宋体" w:eastAsia="宋体" w:cs="楷体"/>
                <w:kern w:val="0"/>
                <w:sz w:val="18"/>
                <w:szCs w:val="18"/>
                <w:highlight w:val="none"/>
                <w:lang w:val="en-US" w:eastAsia="zh-CN"/>
              </w:rPr>
              <w:t>1、</w:t>
            </w:r>
            <w:r>
              <w:rPr>
                <w:rFonts w:hint="eastAsia" w:ascii="宋体" w:hAnsi="宋体" w:eastAsia="宋体" w:cs="楷体"/>
                <w:kern w:val="0"/>
                <w:sz w:val="18"/>
                <w:szCs w:val="18"/>
                <w:highlight w:val="none"/>
              </w:rPr>
              <w:t>双通道专业功放</w:t>
            </w:r>
            <w:r>
              <w:rPr>
                <w:rFonts w:hint="eastAsia" w:ascii="宋体" w:hAnsi="宋体" w:eastAsia="宋体" w:cs="楷体"/>
                <w:kern w:val="0"/>
                <w:sz w:val="18"/>
                <w:szCs w:val="18"/>
                <w:highlight w:val="none"/>
              </w:rPr>
              <w:br w:type="textWrapping"/>
            </w:r>
            <w:r>
              <w:rPr>
                <w:rFonts w:hint="eastAsia" w:ascii="宋体" w:hAnsi="宋体" w:eastAsia="宋体" w:cs="楷体"/>
                <w:kern w:val="0"/>
                <w:sz w:val="18"/>
                <w:szCs w:val="18"/>
                <w:highlight w:val="none"/>
              </w:rPr>
              <w:t xml:space="preserve">2、 输出功率：8 Ohms：600Wx2  @0.1% THD，4 Ohms：900Wx2  @0.1% THD，2 Ohms：1200Wx2   @0.1% THD </w:t>
            </w:r>
            <w:r>
              <w:rPr>
                <w:rFonts w:hint="eastAsia" w:ascii="宋体" w:hAnsi="宋体" w:eastAsia="宋体" w:cs="楷体"/>
                <w:kern w:val="0"/>
                <w:sz w:val="18"/>
                <w:szCs w:val="18"/>
                <w:highlight w:val="none"/>
              </w:rPr>
              <w:br w:type="textWrapping"/>
            </w:r>
            <w:r>
              <w:rPr>
                <w:rFonts w:hint="eastAsia" w:ascii="宋体" w:hAnsi="宋体" w:eastAsia="宋体" w:cs="楷体"/>
                <w:kern w:val="0"/>
                <w:sz w:val="18"/>
                <w:szCs w:val="18"/>
                <w:highlight w:val="none"/>
              </w:rPr>
              <w:t>3、全频段信噪比：≥100dB</w:t>
            </w:r>
            <w:r>
              <w:rPr>
                <w:rFonts w:hint="eastAsia" w:ascii="宋体" w:hAnsi="宋体" w:eastAsia="宋体" w:cs="楷体"/>
                <w:kern w:val="0"/>
                <w:sz w:val="18"/>
                <w:szCs w:val="18"/>
                <w:highlight w:val="none"/>
              </w:rPr>
              <w:br w:type="textWrapping"/>
            </w:r>
            <w:r>
              <w:rPr>
                <w:rFonts w:hint="eastAsia" w:ascii="宋体" w:hAnsi="宋体" w:eastAsia="宋体" w:cs="楷体"/>
                <w:kern w:val="0"/>
                <w:sz w:val="18"/>
                <w:szCs w:val="18"/>
                <w:highlight w:val="none"/>
              </w:rPr>
              <w:t xml:space="preserve">4、阻尼系数：≥ 500@1kHZ/8Ω </w:t>
            </w:r>
            <w:r>
              <w:rPr>
                <w:rFonts w:hint="eastAsia" w:ascii="宋体" w:hAnsi="宋体" w:eastAsia="宋体" w:cs="楷体"/>
                <w:kern w:val="0"/>
                <w:sz w:val="18"/>
                <w:szCs w:val="18"/>
                <w:highlight w:val="none"/>
              </w:rPr>
              <w:br w:type="textWrapping"/>
            </w:r>
            <w:r>
              <w:rPr>
                <w:rFonts w:hint="eastAsia" w:ascii="宋体" w:hAnsi="宋体" w:eastAsia="宋体" w:cs="楷体"/>
                <w:kern w:val="0"/>
                <w:sz w:val="18"/>
                <w:szCs w:val="18"/>
                <w:highlight w:val="none"/>
              </w:rPr>
              <w:t>5、 转换速率：36V/ μs@Stereo mode</w:t>
            </w:r>
            <w:r>
              <w:rPr>
                <w:rFonts w:hint="eastAsia" w:ascii="宋体" w:hAnsi="宋体" w:eastAsia="宋体" w:cs="楷体"/>
                <w:kern w:val="0"/>
                <w:sz w:val="18"/>
                <w:szCs w:val="18"/>
                <w:highlight w:val="none"/>
              </w:rPr>
              <w:br w:type="textWrapping"/>
            </w:r>
            <w:r>
              <w:rPr>
                <w:rFonts w:hint="eastAsia" w:ascii="宋体" w:hAnsi="宋体" w:eastAsia="宋体" w:cs="楷体"/>
                <w:kern w:val="0"/>
                <w:sz w:val="18"/>
                <w:szCs w:val="18"/>
                <w:highlight w:val="none"/>
              </w:rPr>
              <w:t xml:space="preserve">6、自动无级变速风扇，前排风 </w:t>
            </w:r>
            <w:r>
              <w:rPr>
                <w:rFonts w:hint="eastAsia" w:ascii="宋体" w:hAnsi="宋体" w:eastAsia="宋体" w:cs="楷体"/>
                <w:kern w:val="0"/>
                <w:sz w:val="18"/>
                <w:szCs w:val="18"/>
                <w:highlight w:val="none"/>
              </w:rPr>
              <w:br w:type="textWrapping"/>
            </w:r>
            <w:r>
              <w:rPr>
                <w:rFonts w:hint="eastAsia" w:ascii="宋体" w:hAnsi="宋体" w:eastAsia="宋体" w:cs="楷体"/>
                <w:kern w:val="0"/>
                <w:sz w:val="18"/>
                <w:szCs w:val="18"/>
                <w:highlight w:val="none"/>
              </w:rPr>
              <w:t>7. 保护装置：过热保护、超温输出功率控制、长期输出功率控制、输出短路保护、过载保护、直流保护</w:t>
            </w:r>
            <w:r>
              <w:rPr>
                <w:rFonts w:hint="eastAsia" w:ascii="宋体" w:hAnsi="宋体" w:eastAsia="宋体" w:cs="楷体"/>
                <w:kern w:val="0"/>
                <w:sz w:val="18"/>
                <w:szCs w:val="18"/>
                <w:highlight w:val="none"/>
              </w:rPr>
              <w:br w:type="textWrapping"/>
            </w:r>
            <w:r>
              <w:rPr>
                <w:rFonts w:hint="eastAsia" w:ascii="宋体" w:hAnsi="宋体" w:eastAsia="宋体" w:cs="楷体"/>
                <w:kern w:val="0"/>
                <w:sz w:val="18"/>
                <w:szCs w:val="18"/>
                <w:highlight w:val="none"/>
              </w:rPr>
              <w:t>8、提供CE认证证书</w:t>
            </w:r>
          </w:p>
          <w:p>
            <w:pPr>
              <w:widowControl/>
              <w:jc w:val="left"/>
              <w:rPr>
                <w:rFonts w:hint="eastAsia"/>
                <w:highlight w:val="none"/>
              </w:rPr>
            </w:pPr>
            <w:r>
              <w:rPr>
                <w:rFonts w:hint="eastAsia" w:ascii="宋体" w:hAnsi="宋体" w:eastAsia="宋体" w:cs="宋体"/>
                <w:b/>
                <w:bCs/>
                <w:kern w:val="0"/>
                <w:sz w:val="18"/>
                <w:szCs w:val="18"/>
                <w:highlight w:val="none"/>
                <w:lang w:val="en-US" w:eastAsia="zh-CN"/>
              </w:rPr>
              <w:t>（以上参数项除特殊备注的项要求资料外，其余参数需提供佐证材料复印件加盖厂家公章逐项证明符合性，佐证材料不限于品牌官方网站介绍、品牌官方印刷的产品彩页、设备检测报告材料</w:t>
            </w:r>
            <w:r>
              <w:rPr>
                <w:rFonts w:hint="eastAsia" w:hAnsi="宋体" w:eastAsia="宋体" w:cs="楷体"/>
                <w:b/>
                <w:bCs/>
                <w:kern w:val="0"/>
                <w:sz w:val="18"/>
                <w:szCs w:val="18"/>
                <w:highlight w:val="none"/>
                <w:lang w:eastAsia="zh-CN"/>
              </w:rPr>
              <w:t>、产品厂家技术白皮书</w:t>
            </w:r>
            <w:r>
              <w:rPr>
                <w:rFonts w:hint="eastAsia" w:ascii="宋体" w:hAnsi="宋体" w:eastAsia="宋体" w:cs="宋体"/>
                <w:b/>
                <w:bCs/>
                <w:kern w:val="0"/>
                <w:sz w:val="18"/>
                <w:szCs w:val="18"/>
                <w:highlight w:val="none"/>
                <w:lang w:val="en-US" w:eastAsia="zh-CN"/>
              </w:rPr>
              <w:t>等，未提供视为负偏离项）</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台</w:t>
            </w:r>
          </w:p>
        </w:tc>
        <w:tc>
          <w:tcPr>
            <w:tcW w:w="290"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w:t>
            </w:r>
          </w:p>
        </w:tc>
        <w:tc>
          <w:tcPr>
            <w:tcW w:w="682"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楷体"/>
                <w:kern w:val="0"/>
                <w:sz w:val="18"/>
                <w:szCs w:val="18"/>
                <w:highlight w:val="none"/>
              </w:rPr>
              <w:t>ENEWAVE、truesound、soungpro</w:t>
            </w:r>
            <w:r>
              <w:rPr>
                <w:rFonts w:hint="eastAsia" w:ascii="宋体" w:hAnsi="宋体" w:eastAsia="宋体" w:cs="宋体"/>
                <w:color w:val="000000"/>
                <w:kern w:val="0"/>
                <w:sz w:val="20"/>
                <w:szCs w:val="20"/>
                <w:highlight w:val="none"/>
              </w:rPr>
              <w:t>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3</w:t>
            </w:r>
          </w:p>
        </w:tc>
        <w:tc>
          <w:tcPr>
            <w:tcW w:w="568"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吸顶音箱</w:t>
            </w:r>
          </w:p>
        </w:tc>
        <w:tc>
          <w:tcPr>
            <w:tcW w:w="2927" w:type="pct"/>
            <w:tcBorders>
              <w:top w:val="nil"/>
              <w:left w:val="nil"/>
              <w:bottom w:val="single" w:color="auto" w:sz="4" w:space="0"/>
              <w:right w:val="single" w:color="auto" w:sz="4" w:space="0"/>
            </w:tcBorders>
            <w:noWrap w:val="0"/>
            <w:vAlign w:val="top"/>
          </w:tcPr>
          <w:p>
            <w:pPr>
              <w:widowControl/>
              <w:jc w:val="left"/>
              <w:rPr>
                <w:rFonts w:hint="default" w:hAnsi="宋体" w:eastAsia="宋体" w:cs="楷体"/>
                <w:kern w:val="0"/>
                <w:sz w:val="18"/>
                <w:szCs w:val="18"/>
                <w:highlight w:val="none"/>
                <w:lang w:val="en-US" w:eastAsia="zh-CN"/>
              </w:rPr>
            </w:pPr>
            <w:r>
              <w:rPr>
                <w:rFonts w:hint="eastAsia" w:hAnsi="宋体" w:eastAsia="宋体" w:cs="楷体"/>
                <w:kern w:val="0"/>
                <w:sz w:val="18"/>
                <w:szCs w:val="18"/>
                <w:highlight w:val="none"/>
                <w:lang w:val="en-US" w:eastAsia="zh-CN"/>
              </w:rPr>
              <w:t>1、频率响应优于52Hz-20kHz；</w:t>
            </w:r>
            <w:r>
              <w:rPr>
                <w:rFonts w:hint="eastAsia" w:hAnsi="宋体" w:eastAsia="宋体" w:cs="楷体"/>
                <w:kern w:val="0"/>
                <w:sz w:val="18"/>
                <w:szCs w:val="18"/>
                <w:highlight w:val="none"/>
                <w:lang w:val="en-US" w:eastAsia="zh-CN"/>
              </w:rPr>
              <w:br w:type="textWrapping"/>
            </w:r>
            <w:r>
              <w:rPr>
                <w:rFonts w:hint="eastAsia" w:hAnsi="宋体" w:eastAsia="宋体" w:cs="楷体"/>
                <w:kern w:val="0"/>
                <w:sz w:val="18"/>
                <w:szCs w:val="18"/>
                <w:highlight w:val="none"/>
                <w:lang w:val="en-US" w:eastAsia="zh-CN"/>
              </w:rPr>
              <w:t>2、定阻持续功率不低于70W；</w:t>
            </w:r>
            <w:r>
              <w:rPr>
                <w:rFonts w:hint="eastAsia" w:hAnsi="宋体" w:eastAsia="宋体" w:cs="楷体"/>
                <w:kern w:val="0"/>
                <w:sz w:val="18"/>
                <w:szCs w:val="18"/>
                <w:highlight w:val="none"/>
                <w:lang w:val="en-US" w:eastAsia="zh-CN"/>
              </w:rPr>
              <w:br w:type="textWrapping"/>
            </w:r>
            <w:r>
              <w:rPr>
                <w:rFonts w:hint="eastAsia" w:hAnsi="宋体" w:eastAsia="宋体" w:cs="楷体"/>
                <w:kern w:val="0"/>
                <w:sz w:val="18"/>
                <w:szCs w:val="18"/>
                <w:highlight w:val="none"/>
                <w:lang w:val="en-US" w:eastAsia="zh-CN"/>
              </w:rPr>
              <w:t>3、阻抗：8Ω；</w:t>
            </w:r>
            <w:r>
              <w:rPr>
                <w:rFonts w:hint="eastAsia" w:hAnsi="宋体" w:eastAsia="宋体" w:cs="楷体"/>
                <w:kern w:val="0"/>
                <w:sz w:val="18"/>
                <w:szCs w:val="18"/>
                <w:highlight w:val="none"/>
                <w:lang w:val="en-US" w:eastAsia="zh-CN"/>
              </w:rPr>
              <w:br w:type="textWrapping"/>
            </w:r>
            <w:r>
              <w:rPr>
                <w:rFonts w:hint="eastAsia" w:hAnsi="宋体" w:eastAsia="宋体" w:cs="楷体"/>
                <w:kern w:val="0"/>
                <w:sz w:val="18"/>
                <w:szCs w:val="18"/>
                <w:highlight w:val="none"/>
                <w:lang w:val="en-US" w:eastAsia="zh-CN"/>
              </w:rPr>
              <w:t>4、最大声压级不小于：111dB；</w:t>
            </w:r>
            <w:r>
              <w:rPr>
                <w:rFonts w:hint="eastAsia" w:hAnsi="宋体" w:eastAsia="宋体" w:cs="楷体"/>
                <w:kern w:val="0"/>
                <w:sz w:val="18"/>
                <w:szCs w:val="18"/>
                <w:highlight w:val="none"/>
                <w:lang w:val="en-US" w:eastAsia="zh-CN"/>
              </w:rPr>
              <w:br w:type="textWrapping"/>
            </w:r>
            <w:r>
              <w:rPr>
                <w:rFonts w:hint="eastAsia" w:hAnsi="宋体" w:eastAsia="宋体" w:cs="楷体"/>
                <w:kern w:val="0"/>
                <w:sz w:val="18"/>
                <w:szCs w:val="18"/>
                <w:highlight w:val="none"/>
                <w:lang w:val="en-US" w:eastAsia="zh-CN"/>
              </w:rPr>
              <w:t>5、灵敏度不低于 89dB ；</w:t>
            </w:r>
            <w:r>
              <w:rPr>
                <w:rFonts w:hint="eastAsia" w:hAnsi="宋体" w:eastAsia="宋体" w:cs="楷体"/>
                <w:kern w:val="0"/>
                <w:sz w:val="18"/>
                <w:szCs w:val="18"/>
                <w:highlight w:val="none"/>
                <w:lang w:val="en-US" w:eastAsia="zh-CN"/>
              </w:rPr>
              <w:br w:type="textWrapping"/>
            </w:r>
            <w:r>
              <w:rPr>
                <w:rFonts w:hint="eastAsia" w:hAnsi="宋体" w:eastAsia="宋体" w:cs="楷体"/>
                <w:kern w:val="0"/>
                <w:sz w:val="18"/>
                <w:szCs w:val="18"/>
                <w:highlight w:val="none"/>
                <w:lang w:val="en-US" w:eastAsia="zh-CN"/>
              </w:rPr>
              <w:t>6、指向性：110° x  110°；</w:t>
            </w:r>
            <w:r>
              <w:rPr>
                <w:rFonts w:hint="eastAsia" w:hAnsi="宋体" w:eastAsia="宋体" w:cs="楷体"/>
                <w:kern w:val="0"/>
                <w:sz w:val="18"/>
                <w:szCs w:val="18"/>
                <w:highlight w:val="none"/>
                <w:lang w:val="en-US" w:eastAsia="zh-CN"/>
              </w:rPr>
              <w:br w:type="textWrapping"/>
            </w:r>
            <w:r>
              <w:rPr>
                <w:rFonts w:hint="eastAsia" w:hAnsi="宋体" w:eastAsia="宋体" w:cs="楷体"/>
                <w:kern w:val="0"/>
                <w:sz w:val="18"/>
                <w:szCs w:val="18"/>
                <w:highlight w:val="none"/>
                <w:lang w:val="en-US" w:eastAsia="zh-CN"/>
              </w:rPr>
              <w:t>7、箱体结构：低频单元不低于6.5″；</w:t>
            </w:r>
            <w:r>
              <w:rPr>
                <w:rFonts w:hint="eastAsia" w:hAnsi="宋体" w:eastAsia="宋体" w:cs="楷体"/>
                <w:kern w:val="0"/>
                <w:sz w:val="18"/>
                <w:szCs w:val="18"/>
                <w:highlight w:val="none"/>
                <w:lang w:val="en-US" w:eastAsia="zh-CN"/>
              </w:rPr>
              <w:br w:type="textWrapping"/>
            </w:r>
            <w:r>
              <w:rPr>
                <w:rFonts w:hint="eastAsia" w:hAnsi="宋体" w:eastAsia="宋体" w:cs="楷体"/>
                <w:kern w:val="0"/>
                <w:sz w:val="18"/>
                <w:szCs w:val="18"/>
                <w:highlight w:val="none"/>
                <w:lang w:val="en-US" w:eastAsia="zh-CN"/>
              </w:rPr>
              <w:t>8、同轴设计，高音指向可随意转动15°；</w:t>
            </w:r>
            <w:r>
              <w:rPr>
                <w:rFonts w:hint="eastAsia" w:hAnsi="宋体" w:eastAsia="宋体" w:cs="楷体"/>
                <w:kern w:val="0"/>
                <w:sz w:val="18"/>
                <w:szCs w:val="18"/>
                <w:highlight w:val="none"/>
                <w:lang w:val="en-US" w:eastAsia="zh-CN"/>
              </w:rPr>
              <w:br w:type="textWrapping"/>
            </w:r>
            <w:r>
              <w:rPr>
                <w:rFonts w:hint="eastAsia" w:hAnsi="宋体" w:eastAsia="宋体" w:cs="楷体"/>
                <w:kern w:val="0"/>
                <w:sz w:val="18"/>
                <w:szCs w:val="18"/>
                <w:highlight w:val="none"/>
                <w:lang w:val="en-US" w:eastAsia="zh-CN"/>
              </w:rPr>
              <w:t>9、具有IP24认证证书；</w:t>
            </w:r>
          </w:p>
          <w:p>
            <w:pPr>
              <w:widowControl/>
              <w:jc w:val="left"/>
              <w:rPr>
                <w:rFonts w:hint="eastAsia" w:ascii="微软雅黑" w:hAnsi="微软雅黑" w:eastAsia="微软雅黑" w:cs="宋体"/>
                <w:color w:val="000000"/>
                <w:kern w:val="0"/>
                <w:sz w:val="18"/>
                <w:szCs w:val="18"/>
                <w:highlight w:val="none"/>
              </w:rPr>
            </w:pPr>
            <w:r>
              <w:rPr>
                <w:rFonts w:hint="eastAsia" w:ascii="宋体" w:hAnsi="宋体" w:eastAsia="宋体" w:cs="宋体"/>
                <w:b/>
                <w:bCs/>
                <w:kern w:val="0"/>
                <w:sz w:val="18"/>
                <w:szCs w:val="18"/>
                <w:highlight w:val="none"/>
                <w:lang w:val="en-US" w:eastAsia="zh-CN"/>
              </w:rPr>
              <w:t>（以上参数项除特殊备注的项要求资料外，其余参数需提供佐证材料复印件加盖厂家公章逐项证明符合性，佐证材料不限于品牌官方网站介绍、品牌官方印刷的产品彩页、设备检测报告材料</w:t>
            </w:r>
            <w:r>
              <w:rPr>
                <w:rFonts w:hint="eastAsia" w:hAnsi="宋体" w:eastAsia="宋体" w:cs="楷体"/>
                <w:b/>
                <w:bCs/>
                <w:kern w:val="0"/>
                <w:sz w:val="18"/>
                <w:szCs w:val="18"/>
                <w:highlight w:val="none"/>
                <w:lang w:eastAsia="zh-CN"/>
              </w:rPr>
              <w:t>、产品厂家技术白皮书</w:t>
            </w:r>
            <w:r>
              <w:rPr>
                <w:rFonts w:hint="eastAsia" w:ascii="宋体" w:hAnsi="宋体" w:eastAsia="宋体" w:cs="宋体"/>
                <w:b/>
                <w:bCs/>
                <w:kern w:val="0"/>
                <w:sz w:val="18"/>
                <w:szCs w:val="18"/>
                <w:highlight w:val="none"/>
                <w:lang w:val="en-US" w:eastAsia="zh-CN"/>
              </w:rPr>
              <w:t>等，未提供视为负偏离项）</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只</w:t>
            </w:r>
          </w:p>
        </w:tc>
        <w:tc>
          <w:tcPr>
            <w:tcW w:w="290"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4</w:t>
            </w:r>
          </w:p>
        </w:tc>
        <w:tc>
          <w:tcPr>
            <w:tcW w:w="682"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楷体"/>
                <w:kern w:val="0"/>
                <w:sz w:val="18"/>
                <w:szCs w:val="18"/>
                <w:highlight w:val="none"/>
              </w:rPr>
              <w:t>ENEWAVE、truesound、soungpro</w:t>
            </w:r>
            <w:r>
              <w:rPr>
                <w:rFonts w:hint="eastAsia" w:ascii="宋体" w:hAnsi="宋体" w:eastAsia="宋体" w:cs="宋体"/>
                <w:color w:val="000000"/>
                <w:kern w:val="0"/>
                <w:sz w:val="20"/>
                <w:szCs w:val="20"/>
                <w:highlight w:val="none"/>
              </w:rPr>
              <w:t>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4</w:t>
            </w:r>
          </w:p>
        </w:tc>
        <w:tc>
          <w:tcPr>
            <w:tcW w:w="568"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专业功放</w:t>
            </w:r>
          </w:p>
        </w:tc>
        <w:tc>
          <w:tcPr>
            <w:tcW w:w="2927" w:type="pct"/>
            <w:tcBorders>
              <w:top w:val="nil"/>
              <w:left w:val="nil"/>
              <w:bottom w:val="single" w:color="auto" w:sz="4" w:space="0"/>
              <w:right w:val="single" w:color="auto" w:sz="4" w:space="0"/>
            </w:tcBorders>
            <w:noWrap w:val="0"/>
            <w:vAlign w:val="center"/>
          </w:tcPr>
          <w:p>
            <w:pPr>
              <w:widowControl/>
              <w:jc w:val="left"/>
              <w:rPr>
                <w:rFonts w:hint="eastAsia" w:hAnsi="宋体" w:eastAsia="宋体" w:cs="楷体"/>
                <w:kern w:val="0"/>
                <w:sz w:val="18"/>
                <w:szCs w:val="18"/>
                <w:highlight w:val="none"/>
                <w:lang w:val="en-US" w:eastAsia="zh-CN"/>
              </w:rPr>
            </w:pPr>
            <w:r>
              <w:rPr>
                <w:rFonts w:hint="eastAsia" w:hAnsi="宋体" w:eastAsia="宋体" w:cs="楷体"/>
                <w:kern w:val="0"/>
                <w:sz w:val="18"/>
                <w:szCs w:val="18"/>
                <w:highlight w:val="none"/>
                <w:lang w:val="en-US" w:eastAsia="zh-CN"/>
              </w:rPr>
              <w:t>1、八通道数字功放</w:t>
            </w:r>
            <w:r>
              <w:rPr>
                <w:rFonts w:hint="eastAsia" w:hAnsi="宋体" w:eastAsia="宋体" w:cs="楷体"/>
                <w:kern w:val="0"/>
                <w:sz w:val="18"/>
                <w:szCs w:val="18"/>
                <w:highlight w:val="none"/>
                <w:lang w:val="en-US" w:eastAsia="zh-CN"/>
              </w:rPr>
              <w:br w:type="textWrapping"/>
            </w:r>
            <w:r>
              <w:rPr>
                <w:rFonts w:hint="eastAsia" w:hAnsi="宋体" w:eastAsia="宋体" w:cs="楷体"/>
                <w:kern w:val="0"/>
                <w:sz w:val="18"/>
                <w:szCs w:val="18"/>
                <w:highlight w:val="none"/>
                <w:lang w:val="en-US" w:eastAsia="zh-CN"/>
              </w:rPr>
              <w:t>2、功率输出不低于：8 Ohms：100Wx8  @0.1% THD</w:t>
            </w:r>
            <w:r>
              <w:rPr>
                <w:rFonts w:hint="eastAsia" w:hAnsi="宋体" w:eastAsia="宋体" w:cs="楷体"/>
                <w:kern w:val="0"/>
                <w:sz w:val="18"/>
                <w:szCs w:val="18"/>
                <w:highlight w:val="none"/>
                <w:lang w:val="en-US" w:eastAsia="zh-CN"/>
              </w:rPr>
              <w:br w:type="textWrapping"/>
            </w:r>
            <w:r>
              <w:rPr>
                <w:rFonts w:hint="eastAsia" w:hAnsi="宋体" w:eastAsia="宋体" w:cs="楷体"/>
                <w:kern w:val="0"/>
                <w:sz w:val="18"/>
                <w:szCs w:val="18"/>
                <w:highlight w:val="none"/>
                <w:lang w:val="en-US" w:eastAsia="zh-CN"/>
              </w:rPr>
              <w:t xml:space="preserve">                   4 Ohms：150Wx8  @0.1% THD</w:t>
            </w:r>
            <w:r>
              <w:rPr>
                <w:rFonts w:hint="eastAsia" w:hAnsi="宋体" w:eastAsia="宋体" w:cs="楷体"/>
                <w:kern w:val="0"/>
                <w:sz w:val="18"/>
                <w:szCs w:val="18"/>
                <w:highlight w:val="none"/>
                <w:lang w:val="en-US" w:eastAsia="zh-CN"/>
              </w:rPr>
              <w:br w:type="textWrapping"/>
            </w:r>
            <w:r>
              <w:rPr>
                <w:rFonts w:hint="eastAsia" w:hAnsi="宋体" w:eastAsia="宋体" w:cs="楷体"/>
                <w:kern w:val="0"/>
                <w:sz w:val="18"/>
                <w:szCs w:val="18"/>
                <w:highlight w:val="none"/>
                <w:lang w:val="en-US" w:eastAsia="zh-CN"/>
              </w:rPr>
              <w:t>3、全频段信噪比：≥100dB</w:t>
            </w:r>
            <w:r>
              <w:rPr>
                <w:rFonts w:hint="eastAsia" w:hAnsi="宋体" w:eastAsia="宋体" w:cs="楷体"/>
                <w:kern w:val="0"/>
                <w:sz w:val="18"/>
                <w:szCs w:val="18"/>
                <w:highlight w:val="none"/>
                <w:lang w:val="en-US" w:eastAsia="zh-CN"/>
              </w:rPr>
              <w:br w:type="textWrapping"/>
            </w:r>
            <w:r>
              <w:rPr>
                <w:rFonts w:hint="eastAsia" w:hAnsi="宋体" w:eastAsia="宋体" w:cs="楷体"/>
                <w:kern w:val="0"/>
                <w:sz w:val="18"/>
                <w:szCs w:val="18"/>
                <w:highlight w:val="none"/>
                <w:lang w:val="en-US" w:eastAsia="zh-CN"/>
              </w:rPr>
              <w:t xml:space="preserve">4、阻尼系数：≥ 250@4Ω/1kHZ </w:t>
            </w:r>
            <w:r>
              <w:rPr>
                <w:rFonts w:hint="eastAsia" w:hAnsi="宋体" w:eastAsia="宋体" w:cs="楷体"/>
                <w:kern w:val="0"/>
                <w:sz w:val="18"/>
                <w:szCs w:val="18"/>
                <w:highlight w:val="none"/>
                <w:lang w:val="en-US" w:eastAsia="zh-CN"/>
              </w:rPr>
              <w:br w:type="textWrapping"/>
            </w:r>
            <w:r>
              <w:rPr>
                <w:rFonts w:hint="eastAsia" w:hAnsi="宋体" w:eastAsia="宋体" w:cs="楷体"/>
                <w:kern w:val="0"/>
                <w:sz w:val="18"/>
                <w:szCs w:val="18"/>
                <w:highlight w:val="none"/>
                <w:lang w:val="en-US" w:eastAsia="zh-CN"/>
              </w:rPr>
              <w:t>5、转换速率：16V/ μs@Stereo mode</w:t>
            </w:r>
            <w:r>
              <w:rPr>
                <w:rFonts w:hint="eastAsia" w:hAnsi="宋体" w:eastAsia="宋体" w:cs="楷体"/>
                <w:kern w:val="0"/>
                <w:sz w:val="18"/>
                <w:szCs w:val="18"/>
                <w:highlight w:val="none"/>
                <w:lang w:val="en-US" w:eastAsia="zh-CN"/>
              </w:rPr>
              <w:br w:type="textWrapping"/>
            </w:r>
            <w:r>
              <w:rPr>
                <w:rFonts w:hint="eastAsia" w:hAnsi="宋体" w:eastAsia="宋体" w:cs="楷体"/>
                <w:kern w:val="0"/>
                <w:sz w:val="18"/>
                <w:szCs w:val="18"/>
                <w:highlight w:val="none"/>
                <w:lang w:val="en-US" w:eastAsia="zh-CN"/>
              </w:rPr>
              <w:t>6、保护装置：过热保护、超温输出功率控制、长期输出功率控制、输出短路保护、过载保护、直流保护</w:t>
            </w:r>
            <w:r>
              <w:rPr>
                <w:rFonts w:hint="eastAsia" w:hAnsi="宋体" w:eastAsia="宋体" w:cs="楷体"/>
                <w:kern w:val="0"/>
                <w:sz w:val="18"/>
                <w:szCs w:val="18"/>
                <w:highlight w:val="none"/>
                <w:lang w:val="en-US" w:eastAsia="zh-CN"/>
              </w:rPr>
              <w:br w:type="textWrapping"/>
            </w:r>
            <w:r>
              <w:rPr>
                <w:rFonts w:hint="eastAsia" w:hAnsi="宋体" w:eastAsia="宋体" w:cs="楷体"/>
                <w:kern w:val="0"/>
                <w:sz w:val="18"/>
                <w:szCs w:val="18"/>
                <w:highlight w:val="none"/>
                <w:lang w:val="en-US" w:eastAsia="zh-CN"/>
              </w:rPr>
              <w:t>7、提供CE认证证书</w:t>
            </w:r>
          </w:p>
          <w:p>
            <w:pPr>
              <w:widowControl/>
              <w:jc w:val="left"/>
              <w:rPr>
                <w:rFonts w:hint="eastAsia"/>
                <w:highlight w:val="none"/>
              </w:rPr>
            </w:pPr>
            <w:r>
              <w:rPr>
                <w:rFonts w:hint="eastAsia" w:ascii="宋体" w:hAnsi="宋体" w:eastAsia="宋体" w:cs="宋体"/>
                <w:b/>
                <w:bCs/>
                <w:kern w:val="0"/>
                <w:sz w:val="18"/>
                <w:szCs w:val="18"/>
                <w:highlight w:val="none"/>
                <w:lang w:val="en-US" w:eastAsia="zh-CN"/>
              </w:rPr>
              <w:t>（以上参数项除特殊备注的项要求资料外，其余参数需提供佐证材料复印件加盖厂家公章逐项证明符合性，佐证材料不限于品牌官方网站介绍、品牌官方印刷的产品彩页、设备检测报告材料</w:t>
            </w:r>
            <w:r>
              <w:rPr>
                <w:rFonts w:hint="eastAsia" w:hAnsi="宋体" w:eastAsia="宋体" w:cs="楷体"/>
                <w:b/>
                <w:bCs/>
                <w:kern w:val="0"/>
                <w:sz w:val="18"/>
                <w:szCs w:val="18"/>
                <w:highlight w:val="none"/>
                <w:lang w:eastAsia="zh-CN"/>
              </w:rPr>
              <w:t>、产品厂家技术白皮书</w:t>
            </w:r>
            <w:r>
              <w:rPr>
                <w:rFonts w:hint="eastAsia" w:ascii="宋体" w:hAnsi="宋体" w:eastAsia="宋体" w:cs="宋体"/>
                <w:b/>
                <w:bCs/>
                <w:kern w:val="0"/>
                <w:sz w:val="18"/>
                <w:szCs w:val="18"/>
                <w:highlight w:val="none"/>
                <w:lang w:val="en-US" w:eastAsia="zh-CN"/>
              </w:rPr>
              <w:t>等，未提供视为负偏离项）</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台</w:t>
            </w:r>
          </w:p>
        </w:tc>
        <w:tc>
          <w:tcPr>
            <w:tcW w:w="290"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w:t>
            </w:r>
          </w:p>
        </w:tc>
        <w:tc>
          <w:tcPr>
            <w:tcW w:w="682"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楷体"/>
                <w:kern w:val="0"/>
                <w:sz w:val="18"/>
                <w:szCs w:val="18"/>
                <w:highlight w:val="none"/>
              </w:rPr>
              <w:t>ENEWAVE、truesound、soungpro</w:t>
            </w:r>
            <w:r>
              <w:rPr>
                <w:rFonts w:hint="eastAsia" w:ascii="宋体" w:hAnsi="宋体" w:eastAsia="宋体" w:cs="宋体"/>
                <w:color w:val="000000"/>
                <w:kern w:val="0"/>
                <w:sz w:val="20"/>
                <w:szCs w:val="20"/>
                <w:highlight w:val="none"/>
              </w:rPr>
              <w:t>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5</w:t>
            </w:r>
          </w:p>
        </w:tc>
        <w:tc>
          <w:tcPr>
            <w:tcW w:w="568"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音频矩阵处理器</w:t>
            </w:r>
          </w:p>
        </w:tc>
        <w:tc>
          <w:tcPr>
            <w:tcW w:w="2927" w:type="pct"/>
            <w:tcBorders>
              <w:top w:val="nil"/>
              <w:left w:val="nil"/>
              <w:bottom w:val="single" w:color="auto" w:sz="4" w:space="0"/>
              <w:right w:val="single" w:color="auto" w:sz="4" w:space="0"/>
            </w:tcBorders>
            <w:noWrap w:val="0"/>
            <w:vAlign w:val="top"/>
          </w:tcPr>
          <w:p>
            <w:pPr>
              <w:widowControl/>
              <w:jc w:val="left"/>
              <w:rPr>
                <w:rFonts w:hint="eastAsia" w:hAnsi="宋体" w:eastAsia="宋体" w:cs="楷体"/>
                <w:kern w:val="0"/>
                <w:sz w:val="18"/>
                <w:szCs w:val="18"/>
                <w:highlight w:val="none"/>
                <w:lang w:val="en-US" w:eastAsia="zh-CN"/>
              </w:rPr>
            </w:pPr>
            <w:r>
              <w:rPr>
                <w:rFonts w:hint="eastAsia" w:hAnsi="宋体" w:eastAsia="宋体" w:cs="楷体"/>
                <w:kern w:val="0"/>
                <w:sz w:val="18"/>
                <w:szCs w:val="18"/>
                <w:highlight w:val="none"/>
                <w:lang w:val="en-US" w:eastAsia="zh-CN"/>
              </w:rPr>
              <w:t>1、不少于16in/8out模拟音频输入/输出接口</w:t>
            </w:r>
            <w:r>
              <w:rPr>
                <w:rFonts w:hint="eastAsia" w:hAnsi="宋体" w:eastAsia="宋体" w:cs="楷体"/>
                <w:kern w:val="0"/>
                <w:sz w:val="18"/>
                <w:szCs w:val="18"/>
                <w:highlight w:val="none"/>
                <w:lang w:val="en-US" w:eastAsia="zh-CN"/>
              </w:rPr>
              <w:br w:type="textWrapping"/>
            </w:r>
            <w:r>
              <w:rPr>
                <w:rFonts w:hint="eastAsia" w:hAnsi="宋体" w:eastAsia="宋体" w:cs="楷体"/>
                <w:kern w:val="0"/>
                <w:sz w:val="18"/>
                <w:szCs w:val="18"/>
                <w:highlight w:val="none"/>
                <w:lang w:val="en-US" w:eastAsia="zh-CN"/>
              </w:rPr>
              <w:t>2、可扩展16进／16出Dante网络音频接口</w:t>
            </w:r>
            <w:r>
              <w:rPr>
                <w:rFonts w:hint="eastAsia" w:hAnsi="宋体" w:eastAsia="宋体" w:cs="楷体"/>
                <w:kern w:val="0"/>
                <w:sz w:val="18"/>
                <w:szCs w:val="18"/>
                <w:highlight w:val="none"/>
                <w:lang w:val="en-US" w:eastAsia="zh-CN"/>
              </w:rPr>
              <w:br w:type="textWrapping"/>
            </w:r>
            <w:r>
              <w:rPr>
                <w:rFonts w:hint="eastAsia" w:hAnsi="宋体" w:eastAsia="宋体" w:cs="楷体"/>
                <w:kern w:val="0"/>
                <w:sz w:val="18"/>
                <w:szCs w:val="18"/>
                <w:highlight w:val="none"/>
                <w:lang w:val="en-US" w:eastAsia="zh-CN"/>
              </w:rPr>
              <w:t>3、DSP芯片：40位浮点处理器</w:t>
            </w:r>
            <w:r>
              <w:rPr>
                <w:rFonts w:hint="eastAsia" w:hAnsi="宋体" w:eastAsia="宋体" w:cs="楷体"/>
                <w:kern w:val="0"/>
                <w:sz w:val="18"/>
                <w:szCs w:val="18"/>
                <w:highlight w:val="none"/>
                <w:lang w:val="en-US" w:eastAsia="zh-CN"/>
              </w:rPr>
              <w:br w:type="textWrapping"/>
            </w:r>
            <w:r>
              <w:rPr>
                <w:rFonts w:hint="eastAsia" w:hAnsi="宋体" w:eastAsia="宋体" w:cs="楷体"/>
                <w:kern w:val="0"/>
                <w:sz w:val="18"/>
                <w:szCs w:val="18"/>
                <w:highlight w:val="none"/>
                <w:lang w:val="en-US" w:eastAsia="zh-CN"/>
              </w:rPr>
              <w:t>4、具备反馈抑制（AFC）功能，自动增益控制（AGC）、噪声补偿（ANC）、回声抑制（AEC）等功能</w:t>
            </w:r>
            <w:r>
              <w:rPr>
                <w:rFonts w:hint="eastAsia" w:hAnsi="宋体" w:eastAsia="宋体" w:cs="楷体"/>
                <w:kern w:val="0"/>
                <w:sz w:val="18"/>
                <w:szCs w:val="18"/>
                <w:highlight w:val="none"/>
                <w:lang w:val="en-US" w:eastAsia="zh-CN"/>
              </w:rPr>
              <w:br w:type="textWrapping"/>
            </w:r>
            <w:r>
              <w:rPr>
                <w:rFonts w:hint="eastAsia" w:hAnsi="宋体" w:eastAsia="宋体" w:cs="楷体"/>
                <w:kern w:val="0"/>
                <w:sz w:val="18"/>
                <w:szCs w:val="18"/>
                <w:highlight w:val="none"/>
                <w:lang w:val="en-US" w:eastAsia="zh-CN"/>
              </w:rPr>
              <w:t xml:space="preserve">5、动态范围不低于：112dB </w:t>
            </w:r>
            <w:r>
              <w:rPr>
                <w:rFonts w:hint="eastAsia" w:hAnsi="宋体" w:eastAsia="宋体" w:cs="楷体"/>
                <w:kern w:val="0"/>
                <w:sz w:val="18"/>
                <w:szCs w:val="18"/>
                <w:highlight w:val="none"/>
                <w:lang w:val="en-US" w:eastAsia="zh-CN"/>
              </w:rPr>
              <w:br w:type="textWrapping"/>
            </w:r>
            <w:r>
              <w:rPr>
                <w:rFonts w:hint="eastAsia" w:hAnsi="宋体" w:eastAsia="宋体" w:cs="楷体"/>
                <w:kern w:val="0"/>
                <w:sz w:val="18"/>
                <w:szCs w:val="18"/>
                <w:highlight w:val="none"/>
                <w:lang w:val="en-US" w:eastAsia="zh-CN"/>
              </w:rPr>
              <w:t>6、提供第三方CE认证证书</w:t>
            </w:r>
          </w:p>
          <w:p>
            <w:pPr>
              <w:widowControl/>
              <w:jc w:val="left"/>
              <w:rPr>
                <w:rFonts w:hint="eastAsia"/>
                <w:highlight w:val="none"/>
              </w:rPr>
            </w:pPr>
            <w:r>
              <w:rPr>
                <w:rFonts w:hint="eastAsia" w:ascii="宋体" w:hAnsi="宋体" w:eastAsia="宋体" w:cs="宋体"/>
                <w:b/>
                <w:bCs/>
                <w:kern w:val="0"/>
                <w:sz w:val="18"/>
                <w:szCs w:val="18"/>
                <w:highlight w:val="none"/>
                <w:lang w:val="en-US" w:eastAsia="zh-CN"/>
              </w:rPr>
              <w:t>（以上参数项除特殊备注的项要求资料外，其余参数需提供佐证材料复印件加盖厂家公章逐项证明符合性，佐证材料不限于品牌官方网站介绍、品牌官方印刷的产品彩页、设备检测报告材料</w:t>
            </w:r>
            <w:r>
              <w:rPr>
                <w:rFonts w:hint="eastAsia" w:hAnsi="宋体" w:eastAsia="宋体" w:cs="楷体"/>
                <w:b/>
                <w:bCs/>
                <w:kern w:val="0"/>
                <w:sz w:val="18"/>
                <w:szCs w:val="18"/>
                <w:highlight w:val="none"/>
                <w:lang w:eastAsia="zh-CN"/>
              </w:rPr>
              <w:t>、产品厂家技术白皮书</w:t>
            </w:r>
            <w:r>
              <w:rPr>
                <w:rFonts w:hint="eastAsia" w:ascii="宋体" w:hAnsi="宋体" w:eastAsia="宋体" w:cs="宋体"/>
                <w:b/>
                <w:bCs/>
                <w:kern w:val="0"/>
                <w:sz w:val="18"/>
                <w:szCs w:val="18"/>
                <w:highlight w:val="none"/>
                <w:lang w:val="en-US" w:eastAsia="zh-CN"/>
              </w:rPr>
              <w:t>等，未提供视为负偏离项）</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台</w:t>
            </w:r>
          </w:p>
        </w:tc>
        <w:tc>
          <w:tcPr>
            <w:tcW w:w="290"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w:t>
            </w:r>
          </w:p>
        </w:tc>
        <w:tc>
          <w:tcPr>
            <w:tcW w:w="682"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楷体"/>
                <w:kern w:val="0"/>
                <w:sz w:val="18"/>
                <w:szCs w:val="18"/>
                <w:highlight w:val="none"/>
              </w:rPr>
              <w:t>ENEWAVE、truesound、soungpro</w:t>
            </w:r>
            <w:r>
              <w:rPr>
                <w:rFonts w:hint="eastAsia" w:ascii="宋体" w:hAnsi="宋体" w:eastAsia="宋体" w:cs="宋体"/>
                <w:color w:val="000000"/>
                <w:kern w:val="0"/>
                <w:sz w:val="20"/>
                <w:szCs w:val="20"/>
                <w:highlight w:val="none"/>
              </w:rPr>
              <w:t>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6</w:t>
            </w:r>
          </w:p>
        </w:tc>
        <w:tc>
          <w:tcPr>
            <w:tcW w:w="568"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电源时序器</w:t>
            </w:r>
          </w:p>
        </w:tc>
        <w:tc>
          <w:tcPr>
            <w:tcW w:w="2927" w:type="pct"/>
            <w:tcBorders>
              <w:top w:val="nil"/>
              <w:left w:val="nil"/>
              <w:bottom w:val="single" w:color="auto" w:sz="4" w:space="0"/>
              <w:right w:val="single" w:color="auto" w:sz="4" w:space="0"/>
            </w:tcBorders>
            <w:noWrap w:val="0"/>
            <w:vAlign w:val="top"/>
          </w:tcPr>
          <w:p>
            <w:pPr>
              <w:widowControl/>
              <w:jc w:val="left"/>
              <w:rPr>
                <w:rFonts w:hint="eastAsia" w:hAnsi="宋体" w:eastAsia="宋体" w:cs="楷体"/>
                <w:kern w:val="0"/>
                <w:sz w:val="18"/>
                <w:szCs w:val="18"/>
                <w:highlight w:val="none"/>
                <w:lang w:val="en-US" w:eastAsia="zh-CN"/>
              </w:rPr>
            </w:pPr>
            <w:r>
              <w:rPr>
                <w:rFonts w:hint="eastAsia" w:hAnsi="宋体" w:eastAsia="宋体" w:cs="楷体"/>
                <w:kern w:val="0"/>
                <w:sz w:val="18"/>
                <w:szCs w:val="18"/>
                <w:highlight w:val="none"/>
                <w:lang w:val="en-US" w:eastAsia="zh-CN"/>
              </w:rPr>
              <w:t>1、提供不小于8路模块化的输出端口；</w:t>
            </w:r>
          </w:p>
          <w:p>
            <w:pPr>
              <w:widowControl/>
              <w:jc w:val="left"/>
              <w:rPr>
                <w:rFonts w:hint="eastAsia" w:hAnsi="宋体" w:eastAsia="宋体" w:cs="楷体"/>
                <w:kern w:val="0"/>
                <w:sz w:val="18"/>
                <w:szCs w:val="18"/>
                <w:highlight w:val="none"/>
                <w:lang w:val="en-US" w:eastAsia="zh-CN"/>
              </w:rPr>
            </w:pPr>
            <w:r>
              <w:rPr>
                <w:rFonts w:hint="eastAsia" w:hAnsi="宋体" w:eastAsia="宋体" w:cs="楷体"/>
                <w:kern w:val="0"/>
                <w:sz w:val="18"/>
                <w:szCs w:val="18"/>
                <w:highlight w:val="none"/>
                <w:lang w:val="en-US" w:eastAsia="zh-CN"/>
              </w:rPr>
              <w:t>2、具有面板按键，面板有8个通道选择指示灯和8个通道状态指示灯；</w:t>
            </w:r>
          </w:p>
          <w:p>
            <w:pPr>
              <w:widowControl/>
              <w:jc w:val="left"/>
              <w:rPr>
                <w:rFonts w:hint="eastAsia" w:hAnsi="宋体" w:eastAsia="宋体" w:cs="楷体"/>
                <w:kern w:val="0"/>
                <w:sz w:val="18"/>
                <w:szCs w:val="18"/>
                <w:highlight w:val="none"/>
                <w:lang w:val="en-US" w:eastAsia="zh-CN"/>
              </w:rPr>
            </w:pPr>
            <w:r>
              <w:rPr>
                <w:rFonts w:hint="eastAsia" w:hAnsi="宋体" w:eastAsia="宋体" w:cs="楷体"/>
                <w:kern w:val="0"/>
                <w:sz w:val="18"/>
                <w:szCs w:val="18"/>
                <w:highlight w:val="none"/>
                <w:lang w:val="en-US" w:eastAsia="zh-CN"/>
              </w:rPr>
              <w:t>3、具有不低于2路的RS232串口</w:t>
            </w:r>
          </w:p>
          <w:p>
            <w:pPr>
              <w:widowControl/>
              <w:jc w:val="left"/>
              <w:rPr>
                <w:rFonts w:hint="eastAsia"/>
                <w:highlight w:val="none"/>
              </w:rPr>
            </w:pPr>
            <w:r>
              <w:rPr>
                <w:rFonts w:hint="eastAsia" w:ascii="宋体" w:hAnsi="宋体" w:eastAsia="宋体" w:cs="宋体"/>
                <w:b/>
                <w:bCs/>
                <w:kern w:val="0"/>
                <w:sz w:val="18"/>
                <w:szCs w:val="18"/>
                <w:highlight w:val="none"/>
                <w:lang w:val="en-US" w:eastAsia="zh-CN"/>
              </w:rPr>
              <w:t>（以上参数项除特殊备注的项要求资料外，其余参数需提供佐证材料复印件加盖厂家公章逐项证明符合性，佐证材料不限于品牌官方网站介绍、品牌官方印刷的产品彩页、设备检测报告材料</w:t>
            </w:r>
            <w:r>
              <w:rPr>
                <w:rFonts w:hint="eastAsia" w:hAnsi="宋体" w:eastAsia="宋体" w:cs="楷体"/>
                <w:b/>
                <w:bCs/>
                <w:kern w:val="0"/>
                <w:sz w:val="18"/>
                <w:szCs w:val="18"/>
                <w:highlight w:val="none"/>
                <w:lang w:eastAsia="zh-CN"/>
              </w:rPr>
              <w:t>、产品厂家技术白皮书</w:t>
            </w:r>
            <w:r>
              <w:rPr>
                <w:rFonts w:hint="eastAsia" w:ascii="宋体" w:hAnsi="宋体" w:eastAsia="宋体" w:cs="宋体"/>
                <w:b/>
                <w:bCs/>
                <w:kern w:val="0"/>
                <w:sz w:val="18"/>
                <w:szCs w:val="18"/>
                <w:highlight w:val="none"/>
                <w:lang w:val="en-US" w:eastAsia="zh-CN"/>
              </w:rPr>
              <w:t>等，未提供视为负偏离项）</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台</w:t>
            </w:r>
          </w:p>
        </w:tc>
        <w:tc>
          <w:tcPr>
            <w:tcW w:w="290"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w:t>
            </w:r>
          </w:p>
        </w:tc>
        <w:tc>
          <w:tcPr>
            <w:tcW w:w="682"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楷体"/>
                <w:kern w:val="0"/>
                <w:sz w:val="18"/>
                <w:szCs w:val="18"/>
                <w:highlight w:val="none"/>
                <w:lang w:eastAsia="zh-CN"/>
              </w:rPr>
              <w:t>凯图、</w:t>
            </w:r>
            <w:r>
              <w:rPr>
                <w:rFonts w:hint="eastAsia" w:ascii="宋体" w:hAnsi="宋体" w:eastAsia="宋体" w:cs="楷体"/>
                <w:kern w:val="0"/>
                <w:sz w:val="18"/>
                <w:szCs w:val="18"/>
                <w:highlight w:val="none"/>
              </w:rPr>
              <w:t>truesound、soungpro</w:t>
            </w:r>
            <w:r>
              <w:rPr>
                <w:rFonts w:hint="eastAsia" w:ascii="宋体" w:hAnsi="宋体" w:eastAsia="宋体" w:cs="宋体"/>
                <w:color w:val="000000"/>
                <w:kern w:val="0"/>
                <w:sz w:val="20"/>
                <w:szCs w:val="20"/>
                <w:highlight w:val="none"/>
              </w:rPr>
              <w:t>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bCs/>
                <w:color w:val="000000"/>
                <w:kern w:val="0"/>
                <w:sz w:val="20"/>
                <w:szCs w:val="20"/>
                <w:highlight w:val="none"/>
              </w:rPr>
            </w:pPr>
            <w:r>
              <w:rPr>
                <w:rFonts w:hint="eastAsia" w:ascii="宋体" w:hAnsi="宋体" w:eastAsia="宋体" w:cs="宋体"/>
                <w:b/>
                <w:bCs/>
                <w:color w:val="000000"/>
                <w:kern w:val="0"/>
                <w:sz w:val="20"/>
                <w:szCs w:val="20"/>
                <w:highlight w:val="none"/>
              </w:rPr>
              <w:t>B</w:t>
            </w:r>
          </w:p>
        </w:tc>
        <w:tc>
          <w:tcPr>
            <w:tcW w:w="568"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kern w:val="0"/>
                <w:sz w:val="20"/>
                <w:szCs w:val="20"/>
                <w:highlight w:val="none"/>
              </w:rPr>
            </w:pPr>
            <w:r>
              <w:rPr>
                <w:rFonts w:hint="eastAsia" w:ascii="宋体" w:hAnsi="宋体" w:eastAsia="宋体" w:cs="宋体"/>
                <w:b/>
                <w:bCs/>
                <w:color w:val="000000"/>
                <w:kern w:val="0"/>
                <w:sz w:val="20"/>
                <w:szCs w:val="20"/>
                <w:highlight w:val="none"/>
              </w:rPr>
              <w:t>数字会议系统</w:t>
            </w:r>
          </w:p>
        </w:tc>
        <w:tc>
          <w:tcPr>
            <w:tcW w:w="2927"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w:t>
            </w:r>
          </w:p>
        </w:tc>
        <w:tc>
          <w:tcPr>
            <w:tcW w:w="293"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w:t>
            </w:r>
          </w:p>
        </w:tc>
        <w:tc>
          <w:tcPr>
            <w:tcW w:w="290"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w:t>
            </w:r>
          </w:p>
        </w:tc>
        <w:tc>
          <w:tcPr>
            <w:tcW w:w="682"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w:t>
            </w:r>
          </w:p>
        </w:tc>
        <w:tc>
          <w:tcPr>
            <w:tcW w:w="568"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数字会议主机</w:t>
            </w:r>
          </w:p>
        </w:tc>
        <w:tc>
          <w:tcPr>
            <w:tcW w:w="2927" w:type="pct"/>
            <w:tcBorders>
              <w:top w:val="nil"/>
              <w:left w:val="nil"/>
              <w:bottom w:val="single" w:color="auto" w:sz="4" w:space="0"/>
              <w:right w:val="single" w:color="auto" w:sz="4" w:space="0"/>
            </w:tcBorders>
            <w:noWrap w:val="0"/>
            <w:vAlign w:val="top"/>
          </w:tcPr>
          <w:p>
            <w:pPr>
              <w:widowControl/>
              <w:jc w:val="left"/>
              <w:rPr>
                <w:rFonts w:hint="eastAsia" w:hAnsi="宋体" w:eastAsia="宋体" w:cs="楷体"/>
                <w:kern w:val="0"/>
                <w:sz w:val="18"/>
                <w:szCs w:val="18"/>
                <w:highlight w:val="none"/>
                <w:lang w:val="en-US" w:eastAsia="zh-CN"/>
              </w:rPr>
            </w:pPr>
            <w:r>
              <w:rPr>
                <w:rFonts w:hint="eastAsia" w:hAnsi="宋体" w:eastAsia="宋体" w:cs="楷体"/>
                <w:kern w:val="0"/>
                <w:sz w:val="18"/>
                <w:szCs w:val="18"/>
                <w:highlight w:val="none"/>
                <w:lang w:val="en-US" w:eastAsia="zh-CN"/>
              </w:rPr>
              <w:t>1、即插即用的功能，让讨论设备可以快速方便的连接。</w:t>
            </w:r>
            <w:r>
              <w:rPr>
                <w:rFonts w:hint="eastAsia" w:hAnsi="宋体" w:eastAsia="宋体" w:cs="楷体"/>
                <w:kern w:val="0"/>
                <w:sz w:val="18"/>
                <w:szCs w:val="18"/>
                <w:highlight w:val="none"/>
                <w:lang w:val="en-US" w:eastAsia="zh-CN"/>
              </w:rPr>
              <w:br w:type="textWrapping"/>
            </w:r>
            <w:r>
              <w:rPr>
                <w:rFonts w:hint="eastAsia" w:hAnsi="宋体" w:eastAsia="宋体" w:cs="楷体"/>
                <w:kern w:val="0"/>
                <w:sz w:val="18"/>
                <w:szCs w:val="18"/>
                <w:highlight w:val="none"/>
                <w:lang w:val="en-US" w:eastAsia="zh-CN"/>
              </w:rPr>
              <w:t>2、前面板上直观的电容触摸按键，方便配置和操作。</w:t>
            </w:r>
            <w:r>
              <w:rPr>
                <w:rFonts w:hint="eastAsia" w:hAnsi="宋体" w:eastAsia="宋体" w:cs="楷体"/>
                <w:kern w:val="0"/>
                <w:sz w:val="18"/>
                <w:szCs w:val="18"/>
                <w:highlight w:val="none"/>
                <w:lang w:val="en-US" w:eastAsia="zh-CN"/>
              </w:rPr>
              <w:br w:type="textWrapping"/>
            </w:r>
            <w:r>
              <w:rPr>
                <w:rFonts w:hint="eastAsia" w:hAnsi="宋体" w:eastAsia="宋体" w:cs="楷体"/>
                <w:kern w:val="0"/>
                <w:sz w:val="18"/>
                <w:szCs w:val="18"/>
                <w:highlight w:val="none"/>
                <w:lang w:val="en-US" w:eastAsia="zh-CN"/>
              </w:rPr>
              <w:t>3、直观的LED指示灯，在系统设置时给人清新直观的反馈。</w:t>
            </w:r>
            <w:r>
              <w:rPr>
                <w:rFonts w:hint="eastAsia" w:hAnsi="宋体" w:eastAsia="宋体" w:cs="楷体"/>
                <w:kern w:val="0"/>
                <w:sz w:val="18"/>
                <w:szCs w:val="18"/>
                <w:highlight w:val="none"/>
                <w:lang w:val="en-US" w:eastAsia="zh-CN"/>
              </w:rPr>
              <w:br w:type="textWrapping"/>
            </w:r>
            <w:r>
              <w:rPr>
                <w:rFonts w:hint="eastAsia" w:hAnsi="宋体" w:eastAsia="宋体" w:cs="楷体"/>
                <w:kern w:val="0"/>
                <w:sz w:val="18"/>
                <w:szCs w:val="18"/>
                <w:highlight w:val="none"/>
                <w:lang w:val="en-US" w:eastAsia="zh-CN"/>
              </w:rPr>
              <w:t>4、通过网页浏览器控制—可以使用网页浏览器来查看和管理系统的设置。</w:t>
            </w:r>
            <w:r>
              <w:rPr>
                <w:rFonts w:hint="eastAsia" w:hAnsi="宋体" w:eastAsia="宋体" w:cs="楷体"/>
                <w:kern w:val="0"/>
                <w:sz w:val="18"/>
                <w:szCs w:val="18"/>
                <w:highlight w:val="none"/>
                <w:lang w:val="en-US" w:eastAsia="zh-CN"/>
              </w:rPr>
              <w:br w:type="textWrapping"/>
            </w:r>
            <w:r>
              <w:rPr>
                <w:rFonts w:hint="eastAsia" w:hAnsi="宋体" w:eastAsia="宋体" w:cs="楷体"/>
                <w:kern w:val="0"/>
                <w:sz w:val="18"/>
                <w:szCs w:val="18"/>
                <w:highlight w:val="none"/>
                <w:lang w:val="en-US" w:eastAsia="zh-CN"/>
              </w:rPr>
              <w:t>5、最多可支持不低于80个讨论单元。</w:t>
            </w:r>
            <w:r>
              <w:rPr>
                <w:rFonts w:hint="eastAsia" w:hAnsi="宋体" w:eastAsia="宋体" w:cs="楷体"/>
                <w:kern w:val="0"/>
                <w:sz w:val="18"/>
                <w:szCs w:val="18"/>
                <w:highlight w:val="none"/>
                <w:lang w:val="en-US" w:eastAsia="zh-CN"/>
              </w:rPr>
              <w:br w:type="textWrapping"/>
            </w:r>
            <w:r>
              <w:rPr>
                <w:rFonts w:hint="eastAsia" w:hAnsi="宋体" w:eastAsia="宋体" w:cs="楷体"/>
                <w:kern w:val="0"/>
                <w:sz w:val="18"/>
                <w:szCs w:val="18"/>
                <w:highlight w:val="none"/>
                <w:lang w:val="en-US" w:eastAsia="zh-CN"/>
              </w:rPr>
              <w:t>6、讨论设备的扬声器和麦克风可同时激活。给人以面对面的会议感觉。</w:t>
            </w:r>
            <w:r>
              <w:rPr>
                <w:rFonts w:hint="eastAsia" w:hAnsi="宋体" w:eastAsia="宋体" w:cs="楷体"/>
                <w:kern w:val="0"/>
                <w:sz w:val="18"/>
                <w:szCs w:val="18"/>
                <w:highlight w:val="none"/>
                <w:lang w:val="en-US" w:eastAsia="zh-CN"/>
              </w:rPr>
              <w:br w:type="textWrapping"/>
            </w:r>
            <w:r>
              <w:rPr>
                <w:rFonts w:hint="eastAsia" w:hAnsi="宋体" w:eastAsia="宋体" w:cs="楷体"/>
                <w:kern w:val="0"/>
                <w:sz w:val="18"/>
                <w:szCs w:val="18"/>
                <w:highlight w:val="none"/>
                <w:lang w:val="en-US" w:eastAsia="zh-CN"/>
              </w:rPr>
              <w:t>7、2小时无活动后，可自动关闭控制主机及所连接的设备。以节能降耗</w:t>
            </w:r>
            <w:r>
              <w:rPr>
                <w:rFonts w:hint="eastAsia" w:hAnsi="宋体" w:eastAsia="宋体" w:cs="楷体"/>
                <w:kern w:val="0"/>
                <w:sz w:val="18"/>
                <w:szCs w:val="18"/>
                <w:highlight w:val="none"/>
                <w:lang w:val="en-US" w:eastAsia="zh-CN"/>
              </w:rPr>
              <w:br w:type="textWrapping"/>
            </w:r>
            <w:r>
              <w:rPr>
                <w:rFonts w:hint="eastAsia" w:hAnsi="宋体" w:eastAsia="宋体" w:cs="楷体"/>
                <w:kern w:val="0"/>
                <w:sz w:val="18"/>
                <w:szCs w:val="18"/>
                <w:highlight w:val="none"/>
                <w:lang w:val="en-US" w:eastAsia="zh-CN"/>
              </w:rPr>
              <w:t>8、讨论设备支持热插拔，无需关闭系统电源。</w:t>
            </w:r>
            <w:r>
              <w:rPr>
                <w:rFonts w:hint="eastAsia" w:hAnsi="宋体" w:eastAsia="宋体" w:cs="楷体"/>
                <w:kern w:val="0"/>
                <w:sz w:val="18"/>
                <w:szCs w:val="18"/>
                <w:highlight w:val="none"/>
                <w:lang w:val="en-US" w:eastAsia="zh-CN"/>
              </w:rPr>
              <w:br w:type="textWrapping"/>
            </w:r>
            <w:r>
              <w:rPr>
                <w:rFonts w:hint="eastAsia" w:hAnsi="宋体" w:eastAsia="宋体" w:cs="楷体"/>
                <w:kern w:val="0"/>
                <w:sz w:val="18"/>
                <w:szCs w:val="18"/>
                <w:highlight w:val="none"/>
                <w:lang w:val="en-US" w:eastAsia="zh-CN"/>
              </w:rPr>
              <w:t>9、支持高清摄像联动控制，最多同时支持六个摄像机</w:t>
            </w:r>
            <w:r>
              <w:rPr>
                <w:rFonts w:hint="eastAsia" w:hAnsi="宋体" w:eastAsia="宋体" w:cs="楷体"/>
                <w:kern w:val="0"/>
                <w:sz w:val="18"/>
                <w:szCs w:val="18"/>
                <w:highlight w:val="none"/>
                <w:lang w:val="en-US" w:eastAsia="zh-CN"/>
              </w:rPr>
              <w:br w:type="textWrapping"/>
            </w:r>
            <w:r>
              <w:rPr>
                <w:rFonts w:hint="eastAsia" w:hAnsi="宋体" w:eastAsia="宋体" w:cs="楷体"/>
                <w:kern w:val="0"/>
                <w:sz w:val="18"/>
                <w:szCs w:val="18"/>
                <w:highlight w:val="none"/>
                <w:lang w:val="en-US" w:eastAsia="zh-CN"/>
              </w:rPr>
              <w:t>10、内置会议录音功能，带内置存储的数字录音和USB录音</w:t>
            </w:r>
            <w:r>
              <w:rPr>
                <w:rFonts w:hint="eastAsia" w:hAnsi="宋体" w:eastAsia="宋体" w:cs="楷体"/>
                <w:kern w:val="0"/>
                <w:sz w:val="18"/>
                <w:szCs w:val="18"/>
                <w:highlight w:val="none"/>
                <w:lang w:val="en-US" w:eastAsia="zh-CN"/>
              </w:rPr>
              <w:br w:type="textWrapping"/>
            </w:r>
            <w:r>
              <w:rPr>
                <w:rFonts w:hint="eastAsia" w:hAnsi="宋体" w:eastAsia="宋体" w:cs="楷体"/>
                <w:kern w:val="0"/>
                <w:sz w:val="18"/>
                <w:szCs w:val="18"/>
                <w:highlight w:val="none"/>
                <w:lang w:val="en-US" w:eastAsia="zh-CN"/>
              </w:rPr>
              <w:t>11、内置数字声学反馈抑制</w:t>
            </w:r>
            <w:r>
              <w:rPr>
                <w:rFonts w:hint="eastAsia" w:hAnsi="宋体" w:eastAsia="宋体" w:cs="楷体"/>
                <w:kern w:val="0"/>
                <w:sz w:val="18"/>
                <w:szCs w:val="18"/>
                <w:highlight w:val="none"/>
                <w:lang w:val="en-US" w:eastAsia="zh-CN"/>
              </w:rPr>
              <w:br w:type="textWrapping"/>
            </w:r>
            <w:r>
              <w:rPr>
                <w:rFonts w:hint="eastAsia" w:hAnsi="宋体" w:eastAsia="宋体" w:cs="楷体"/>
                <w:kern w:val="0"/>
                <w:sz w:val="18"/>
                <w:szCs w:val="18"/>
                <w:highlight w:val="none"/>
                <w:lang w:val="en-US" w:eastAsia="zh-CN"/>
              </w:rPr>
              <w:t>12、4路独立的席位音频输出，4路附加的RCA输出用于独立的麦克风录音。</w:t>
            </w:r>
          </w:p>
          <w:p>
            <w:pPr>
              <w:widowControl/>
              <w:jc w:val="left"/>
              <w:rPr>
                <w:rFonts w:hint="eastAsia"/>
                <w:highlight w:val="none"/>
              </w:rPr>
            </w:pPr>
            <w:r>
              <w:rPr>
                <w:rFonts w:hint="eastAsia" w:ascii="宋体" w:hAnsi="宋体" w:eastAsia="宋体" w:cs="宋体"/>
                <w:b/>
                <w:bCs/>
                <w:kern w:val="0"/>
                <w:sz w:val="18"/>
                <w:szCs w:val="18"/>
                <w:highlight w:val="none"/>
                <w:lang w:val="en-US" w:eastAsia="zh-CN"/>
              </w:rPr>
              <w:t>（以上参数项除特殊备注的项要求资料外，其余参数需提供佐证材料复印件加盖厂家公章逐项证明符合性，佐证材料不限于品牌官方网站介绍、品牌官方印刷的产品彩页、设备检测报告材料</w:t>
            </w:r>
            <w:r>
              <w:rPr>
                <w:rFonts w:hint="eastAsia" w:hAnsi="宋体" w:eastAsia="宋体" w:cs="楷体"/>
                <w:b/>
                <w:bCs/>
                <w:kern w:val="0"/>
                <w:sz w:val="18"/>
                <w:szCs w:val="18"/>
                <w:highlight w:val="none"/>
                <w:lang w:eastAsia="zh-CN"/>
              </w:rPr>
              <w:t>、产品厂家技术白皮书</w:t>
            </w:r>
            <w:r>
              <w:rPr>
                <w:rFonts w:hint="eastAsia" w:ascii="宋体" w:hAnsi="宋体" w:eastAsia="宋体" w:cs="宋体"/>
                <w:b/>
                <w:bCs/>
                <w:kern w:val="0"/>
                <w:sz w:val="18"/>
                <w:szCs w:val="18"/>
                <w:highlight w:val="none"/>
                <w:lang w:val="en-US" w:eastAsia="zh-CN"/>
              </w:rPr>
              <w:t>等，未提供视为负偏离项）</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台</w:t>
            </w:r>
          </w:p>
        </w:tc>
        <w:tc>
          <w:tcPr>
            <w:tcW w:w="290"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w:t>
            </w:r>
          </w:p>
        </w:tc>
        <w:tc>
          <w:tcPr>
            <w:tcW w:w="682"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w:t>
            </w:r>
            <w:r>
              <w:rPr>
                <w:rFonts w:hint="eastAsia" w:ascii="宋体" w:hAnsi="宋体" w:eastAsia="宋体" w:cs="楷体"/>
                <w:kern w:val="0"/>
                <w:sz w:val="18"/>
                <w:szCs w:val="18"/>
                <w:highlight w:val="none"/>
                <w:lang w:eastAsia="zh-CN"/>
              </w:rPr>
              <w:t>BOSCH、Televic、beyerdynamic</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2</w:t>
            </w:r>
          </w:p>
        </w:tc>
        <w:tc>
          <w:tcPr>
            <w:tcW w:w="568"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数字发言单元</w:t>
            </w:r>
          </w:p>
        </w:tc>
        <w:tc>
          <w:tcPr>
            <w:tcW w:w="2927" w:type="pct"/>
            <w:tcBorders>
              <w:top w:val="nil"/>
              <w:left w:val="nil"/>
              <w:bottom w:val="single" w:color="auto" w:sz="4" w:space="0"/>
              <w:right w:val="single" w:color="auto" w:sz="4" w:space="0"/>
            </w:tcBorders>
            <w:noWrap w:val="0"/>
            <w:vAlign w:val="center"/>
          </w:tcPr>
          <w:p>
            <w:pPr>
              <w:widowControl/>
              <w:jc w:val="left"/>
              <w:rPr>
                <w:rFonts w:hint="eastAsia" w:hAnsi="宋体" w:eastAsia="宋体" w:cs="楷体"/>
                <w:kern w:val="0"/>
                <w:sz w:val="18"/>
                <w:szCs w:val="18"/>
                <w:highlight w:val="none"/>
                <w:lang w:val="en-US" w:eastAsia="zh-CN"/>
              </w:rPr>
            </w:pPr>
            <w:r>
              <w:rPr>
                <w:rFonts w:hint="eastAsia" w:hAnsi="宋体" w:eastAsia="宋体" w:cs="楷体"/>
                <w:kern w:val="0"/>
                <w:sz w:val="18"/>
                <w:szCs w:val="18"/>
                <w:highlight w:val="none"/>
                <w:lang w:val="en-US" w:eastAsia="zh-CN"/>
              </w:rPr>
              <w:t>1、即插即用功能。</w:t>
            </w:r>
            <w:r>
              <w:rPr>
                <w:rFonts w:hint="eastAsia" w:hAnsi="宋体" w:eastAsia="宋体" w:cs="楷体"/>
                <w:kern w:val="0"/>
                <w:sz w:val="18"/>
                <w:szCs w:val="18"/>
                <w:highlight w:val="none"/>
                <w:lang w:val="en-US" w:eastAsia="zh-CN"/>
              </w:rPr>
              <w:br w:type="textWrapping"/>
            </w:r>
            <w:r>
              <w:rPr>
                <w:rFonts w:hint="eastAsia" w:hAnsi="宋体" w:eastAsia="宋体" w:cs="楷体"/>
                <w:kern w:val="0"/>
                <w:sz w:val="18"/>
                <w:szCs w:val="18"/>
                <w:highlight w:val="none"/>
                <w:lang w:val="en-US" w:eastAsia="zh-CN"/>
              </w:rPr>
              <w:t>2、紧凑，美观，符合人体工程学设计，在讨论设备话筒头上有LED指示灯。</w:t>
            </w:r>
            <w:r>
              <w:rPr>
                <w:rFonts w:hint="eastAsia" w:hAnsi="宋体" w:eastAsia="宋体" w:cs="楷体"/>
                <w:kern w:val="0"/>
                <w:sz w:val="18"/>
                <w:szCs w:val="18"/>
                <w:highlight w:val="none"/>
                <w:lang w:val="en-US" w:eastAsia="zh-CN"/>
              </w:rPr>
              <w:br w:type="textWrapping"/>
            </w:r>
            <w:r>
              <w:rPr>
                <w:rFonts w:hint="eastAsia" w:hAnsi="宋体" w:eastAsia="宋体" w:cs="楷体"/>
                <w:kern w:val="0"/>
                <w:sz w:val="18"/>
                <w:szCs w:val="18"/>
                <w:highlight w:val="none"/>
                <w:lang w:val="en-US" w:eastAsia="zh-CN"/>
              </w:rPr>
              <w:t>3、话筒杆长度不低于480mm。</w:t>
            </w:r>
            <w:r>
              <w:rPr>
                <w:rFonts w:hint="eastAsia" w:hAnsi="宋体" w:eastAsia="宋体" w:cs="楷体"/>
                <w:kern w:val="0"/>
                <w:sz w:val="18"/>
                <w:szCs w:val="18"/>
                <w:highlight w:val="none"/>
                <w:lang w:val="en-US" w:eastAsia="zh-CN"/>
              </w:rPr>
              <w:br w:type="textWrapping"/>
            </w:r>
            <w:r>
              <w:rPr>
                <w:rFonts w:hint="eastAsia" w:hAnsi="宋体" w:eastAsia="宋体" w:cs="楷体"/>
                <w:kern w:val="0"/>
                <w:sz w:val="18"/>
                <w:szCs w:val="18"/>
                <w:highlight w:val="none"/>
                <w:lang w:val="en-US" w:eastAsia="zh-CN"/>
              </w:rPr>
              <w:t>4、扬声器集成到设备的前面。</w:t>
            </w:r>
            <w:r>
              <w:rPr>
                <w:rFonts w:hint="eastAsia" w:hAnsi="宋体" w:eastAsia="宋体" w:cs="楷体"/>
                <w:kern w:val="0"/>
                <w:sz w:val="18"/>
                <w:szCs w:val="18"/>
                <w:highlight w:val="none"/>
                <w:lang w:val="en-US" w:eastAsia="zh-CN"/>
              </w:rPr>
              <w:br w:type="textWrapping"/>
            </w:r>
            <w:r>
              <w:rPr>
                <w:rFonts w:hint="eastAsia" w:hAnsi="宋体" w:eastAsia="宋体" w:cs="楷体"/>
                <w:kern w:val="0"/>
                <w:sz w:val="18"/>
                <w:szCs w:val="18"/>
                <w:highlight w:val="none"/>
                <w:lang w:val="en-US" w:eastAsia="zh-CN"/>
              </w:rPr>
              <w:t>5、内置带输出电平控制的耳机插孔。</w:t>
            </w:r>
            <w:r>
              <w:rPr>
                <w:rFonts w:hint="eastAsia" w:hAnsi="宋体" w:eastAsia="宋体" w:cs="楷体"/>
                <w:kern w:val="0"/>
                <w:sz w:val="18"/>
                <w:szCs w:val="18"/>
                <w:highlight w:val="none"/>
                <w:lang w:val="en-US" w:eastAsia="zh-CN"/>
              </w:rPr>
              <w:br w:type="textWrapping"/>
            </w:r>
            <w:r>
              <w:rPr>
                <w:rFonts w:hint="eastAsia" w:hAnsi="宋体" w:eastAsia="宋体" w:cs="楷体"/>
                <w:kern w:val="0"/>
                <w:sz w:val="18"/>
                <w:szCs w:val="18"/>
                <w:highlight w:val="none"/>
                <w:lang w:val="en-US" w:eastAsia="zh-CN"/>
              </w:rPr>
              <w:t>6、当话筒被激活（通过控制主机的网页浏览器配置）自动降低电平：防止从耳机到麦克风声的反馈。</w:t>
            </w:r>
            <w:r>
              <w:rPr>
                <w:rFonts w:hint="eastAsia" w:hAnsi="宋体" w:eastAsia="宋体" w:cs="楷体"/>
                <w:kern w:val="0"/>
                <w:sz w:val="18"/>
                <w:szCs w:val="18"/>
                <w:highlight w:val="none"/>
                <w:lang w:val="en-US" w:eastAsia="zh-CN"/>
              </w:rPr>
              <w:br w:type="textWrapping"/>
            </w:r>
            <w:r>
              <w:rPr>
                <w:rFonts w:hint="eastAsia" w:hAnsi="宋体" w:eastAsia="宋体" w:cs="楷体"/>
                <w:kern w:val="0"/>
                <w:sz w:val="18"/>
                <w:szCs w:val="18"/>
                <w:highlight w:val="none"/>
                <w:lang w:val="en-US" w:eastAsia="zh-CN"/>
              </w:rPr>
              <w:t>7、可配置为代表或主席设备：借助可更换的发言按键和讨论设备底部的隐藏的滑动开关。</w:t>
            </w:r>
            <w:r>
              <w:rPr>
                <w:rFonts w:hint="eastAsia" w:hAnsi="宋体" w:eastAsia="宋体" w:cs="楷体"/>
                <w:kern w:val="0"/>
                <w:sz w:val="18"/>
                <w:szCs w:val="18"/>
                <w:highlight w:val="none"/>
                <w:lang w:val="en-US" w:eastAsia="zh-CN"/>
              </w:rPr>
              <w:br w:type="textWrapping"/>
            </w:r>
            <w:r>
              <w:rPr>
                <w:rFonts w:hint="eastAsia" w:hAnsi="宋体" w:eastAsia="宋体" w:cs="楷体"/>
                <w:kern w:val="0"/>
                <w:sz w:val="18"/>
                <w:szCs w:val="18"/>
                <w:highlight w:val="none"/>
                <w:lang w:val="en-US" w:eastAsia="zh-CN"/>
              </w:rPr>
              <w:t>8、具有GSM免干扰.</w:t>
            </w:r>
          </w:p>
          <w:p>
            <w:pPr>
              <w:widowControl/>
              <w:jc w:val="left"/>
              <w:rPr>
                <w:rFonts w:hint="eastAsia"/>
                <w:highlight w:val="none"/>
              </w:rPr>
            </w:pPr>
            <w:r>
              <w:rPr>
                <w:rFonts w:hint="eastAsia" w:ascii="宋体" w:hAnsi="宋体" w:eastAsia="宋体" w:cs="宋体"/>
                <w:b/>
                <w:bCs/>
                <w:kern w:val="0"/>
                <w:sz w:val="18"/>
                <w:szCs w:val="18"/>
                <w:highlight w:val="none"/>
                <w:lang w:val="en-US" w:eastAsia="zh-CN"/>
              </w:rPr>
              <w:t>（以上参数项除特殊备注的项要求资料外，其余参数需提供佐证材料复印件加盖厂家公章逐项证明符合性，佐证材料不限于品牌官方网站介绍、品牌官方印刷的产品彩页、设备检测报告材料</w:t>
            </w:r>
            <w:r>
              <w:rPr>
                <w:rFonts w:hint="eastAsia" w:hAnsi="宋体" w:eastAsia="宋体" w:cs="楷体"/>
                <w:b/>
                <w:bCs/>
                <w:kern w:val="0"/>
                <w:sz w:val="18"/>
                <w:szCs w:val="18"/>
                <w:highlight w:val="none"/>
                <w:lang w:eastAsia="zh-CN"/>
              </w:rPr>
              <w:t>、产品厂家技术白皮书</w:t>
            </w:r>
            <w:r>
              <w:rPr>
                <w:rFonts w:hint="eastAsia" w:ascii="宋体" w:hAnsi="宋体" w:eastAsia="宋体" w:cs="宋体"/>
                <w:b/>
                <w:bCs/>
                <w:kern w:val="0"/>
                <w:sz w:val="18"/>
                <w:szCs w:val="18"/>
                <w:highlight w:val="none"/>
                <w:lang w:val="en-US" w:eastAsia="zh-CN"/>
              </w:rPr>
              <w:t>等，未提供视为负偏离项）</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只</w:t>
            </w:r>
          </w:p>
        </w:tc>
        <w:tc>
          <w:tcPr>
            <w:tcW w:w="290"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19</w:t>
            </w:r>
          </w:p>
        </w:tc>
        <w:tc>
          <w:tcPr>
            <w:tcW w:w="682"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楷体"/>
                <w:kern w:val="0"/>
                <w:sz w:val="18"/>
                <w:szCs w:val="18"/>
                <w:highlight w:val="none"/>
                <w:lang w:eastAsia="zh-CN"/>
              </w:rPr>
              <w:t>BOSCH、Televic、beyerdynamic</w:t>
            </w:r>
            <w:r>
              <w:rPr>
                <w:rFonts w:hint="eastAsia" w:ascii="宋体" w:hAnsi="宋体" w:eastAsia="宋体" w:cs="宋体"/>
                <w:color w:val="000000"/>
                <w:kern w:val="0"/>
                <w:sz w:val="20"/>
                <w:szCs w:val="20"/>
                <w:highlight w:val="none"/>
              </w:rPr>
              <w:t>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3</w:t>
            </w:r>
          </w:p>
        </w:tc>
        <w:tc>
          <w:tcPr>
            <w:tcW w:w="568"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安装电缆</w:t>
            </w:r>
          </w:p>
        </w:tc>
        <w:tc>
          <w:tcPr>
            <w:tcW w:w="2927" w:type="pct"/>
            <w:tcBorders>
              <w:top w:val="nil"/>
              <w:left w:val="nil"/>
              <w:bottom w:val="single" w:color="auto" w:sz="4" w:space="0"/>
              <w:right w:val="single" w:color="auto" w:sz="4" w:space="0"/>
            </w:tcBorders>
            <w:noWrap w:val="0"/>
            <w:vAlign w:val="top"/>
          </w:tcPr>
          <w:p>
            <w:pPr>
              <w:widowControl/>
              <w:jc w:val="left"/>
              <w:rPr>
                <w:rFonts w:hint="eastAsia" w:hAnsi="宋体" w:eastAsia="宋体" w:cs="楷体"/>
                <w:kern w:val="0"/>
                <w:sz w:val="18"/>
                <w:szCs w:val="18"/>
                <w:highlight w:val="none"/>
                <w:lang w:val="en-US" w:eastAsia="zh-CN"/>
              </w:rPr>
            </w:pPr>
            <w:r>
              <w:rPr>
                <w:rFonts w:hint="eastAsia" w:hAnsi="宋体" w:eastAsia="宋体" w:cs="楷体"/>
                <w:kern w:val="0"/>
                <w:sz w:val="18"/>
                <w:szCs w:val="18"/>
                <w:highlight w:val="none"/>
                <w:lang w:val="en-US" w:eastAsia="zh-CN"/>
              </w:rPr>
              <w:t>6芯专用线缆，100米</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卷</w:t>
            </w:r>
          </w:p>
        </w:tc>
        <w:tc>
          <w:tcPr>
            <w:tcW w:w="290"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w:t>
            </w:r>
          </w:p>
        </w:tc>
        <w:tc>
          <w:tcPr>
            <w:tcW w:w="682"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楷体"/>
                <w:kern w:val="0"/>
                <w:sz w:val="18"/>
                <w:szCs w:val="18"/>
                <w:highlight w:val="none"/>
                <w:lang w:eastAsia="zh-CN"/>
              </w:rPr>
              <w:t>BOSCH、Televic、beyerdynamic</w:t>
            </w:r>
            <w:r>
              <w:rPr>
                <w:rFonts w:hint="eastAsia" w:ascii="宋体" w:hAnsi="宋体" w:eastAsia="宋体" w:cs="宋体"/>
                <w:color w:val="000000"/>
                <w:kern w:val="0"/>
                <w:sz w:val="20"/>
                <w:szCs w:val="20"/>
                <w:highlight w:val="none"/>
              </w:rPr>
              <w:t>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4</w:t>
            </w:r>
          </w:p>
        </w:tc>
        <w:tc>
          <w:tcPr>
            <w:tcW w:w="568"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接头</w:t>
            </w:r>
          </w:p>
        </w:tc>
        <w:tc>
          <w:tcPr>
            <w:tcW w:w="2927" w:type="pct"/>
            <w:tcBorders>
              <w:top w:val="nil"/>
              <w:left w:val="nil"/>
              <w:bottom w:val="single" w:color="auto" w:sz="4" w:space="0"/>
              <w:right w:val="single" w:color="auto" w:sz="4" w:space="0"/>
            </w:tcBorders>
            <w:noWrap w:val="0"/>
            <w:vAlign w:val="center"/>
          </w:tcPr>
          <w:p>
            <w:pPr>
              <w:widowControl/>
              <w:jc w:val="left"/>
              <w:rPr>
                <w:rFonts w:hint="eastAsia" w:hAnsi="宋体" w:eastAsia="宋体" w:cs="楷体"/>
                <w:kern w:val="0"/>
                <w:sz w:val="18"/>
                <w:szCs w:val="18"/>
                <w:highlight w:val="none"/>
                <w:lang w:val="en-US" w:eastAsia="zh-CN"/>
              </w:rPr>
            </w:pPr>
            <w:r>
              <w:rPr>
                <w:rFonts w:hint="eastAsia" w:hAnsi="宋体" w:eastAsia="宋体" w:cs="楷体"/>
                <w:kern w:val="0"/>
                <w:sz w:val="18"/>
                <w:szCs w:val="18"/>
                <w:highlight w:val="none"/>
                <w:lang w:val="en-US" w:eastAsia="zh-CN"/>
              </w:rPr>
              <w:t>专用接头</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对</w:t>
            </w:r>
          </w:p>
        </w:tc>
        <w:tc>
          <w:tcPr>
            <w:tcW w:w="290"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5</w:t>
            </w:r>
          </w:p>
        </w:tc>
        <w:tc>
          <w:tcPr>
            <w:tcW w:w="682"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楷体"/>
                <w:kern w:val="0"/>
                <w:sz w:val="18"/>
                <w:szCs w:val="18"/>
                <w:highlight w:val="none"/>
                <w:lang w:eastAsia="zh-CN"/>
              </w:rPr>
              <w:t>BOSCH、Televic、beyerdynamic</w:t>
            </w:r>
            <w:r>
              <w:rPr>
                <w:rFonts w:hint="eastAsia" w:ascii="宋体" w:hAnsi="宋体" w:eastAsia="宋体" w:cs="宋体"/>
                <w:color w:val="000000"/>
                <w:kern w:val="0"/>
                <w:sz w:val="20"/>
                <w:szCs w:val="20"/>
                <w:highlight w:val="none"/>
              </w:rPr>
              <w:t>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bCs/>
                <w:color w:val="000000"/>
                <w:kern w:val="0"/>
                <w:sz w:val="20"/>
                <w:szCs w:val="20"/>
                <w:highlight w:val="none"/>
              </w:rPr>
            </w:pPr>
            <w:r>
              <w:rPr>
                <w:rFonts w:hint="eastAsia" w:ascii="宋体" w:hAnsi="宋体" w:eastAsia="宋体" w:cs="宋体"/>
                <w:b/>
                <w:bCs/>
                <w:color w:val="000000"/>
                <w:kern w:val="0"/>
                <w:sz w:val="20"/>
                <w:szCs w:val="20"/>
                <w:highlight w:val="none"/>
              </w:rPr>
              <w:t>C</w:t>
            </w:r>
          </w:p>
        </w:tc>
        <w:tc>
          <w:tcPr>
            <w:tcW w:w="568"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kern w:val="0"/>
                <w:sz w:val="20"/>
                <w:szCs w:val="20"/>
                <w:highlight w:val="none"/>
              </w:rPr>
            </w:pPr>
            <w:r>
              <w:rPr>
                <w:rFonts w:hint="eastAsia" w:ascii="宋体" w:hAnsi="宋体" w:eastAsia="宋体" w:cs="宋体"/>
                <w:b/>
                <w:bCs/>
                <w:color w:val="000000"/>
                <w:kern w:val="0"/>
                <w:sz w:val="20"/>
                <w:szCs w:val="20"/>
                <w:highlight w:val="none"/>
              </w:rPr>
              <w:t>LED大屏显示系统</w:t>
            </w:r>
          </w:p>
        </w:tc>
        <w:tc>
          <w:tcPr>
            <w:tcW w:w="2927"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w:t>
            </w:r>
          </w:p>
        </w:tc>
        <w:tc>
          <w:tcPr>
            <w:tcW w:w="293"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w:t>
            </w:r>
          </w:p>
        </w:tc>
        <w:tc>
          <w:tcPr>
            <w:tcW w:w="290"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w:t>
            </w:r>
          </w:p>
        </w:tc>
        <w:tc>
          <w:tcPr>
            <w:tcW w:w="682"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w:t>
            </w:r>
          </w:p>
        </w:tc>
        <w:tc>
          <w:tcPr>
            <w:tcW w:w="568"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小间距LED显示屏</w:t>
            </w:r>
          </w:p>
        </w:tc>
        <w:tc>
          <w:tcPr>
            <w:tcW w:w="2927" w:type="pct"/>
            <w:tcBorders>
              <w:top w:val="nil"/>
              <w:left w:val="nil"/>
              <w:bottom w:val="single" w:color="auto" w:sz="4" w:space="0"/>
              <w:right w:val="single" w:color="auto" w:sz="4" w:space="0"/>
            </w:tcBorders>
            <w:noWrap w:val="0"/>
            <w:vAlign w:val="top"/>
          </w:tcPr>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1、</w:t>
            </w:r>
            <w:r>
              <w:rPr>
                <w:rFonts w:hint="eastAsia" w:ascii="宋体" w:hAnsi="宋体" w:eastAsia="宋体" w:cs="楷体"/>
                <w:kern w:val="0"/>
                <w:sz w:val="18"/>
                <w:szCs w:val="18"/>
                <w:highlight w:val="none"/>
                <w:lang w:val="en-US" w:eastAsia="zh-CN" w:bidi="ar-SA"/>
              </w:rPr>
              <w:t>像素间距1.5384mm。</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2、</w:t>
            </w:r>
            <w:r>
              <w:rPr>
                <w:rFonts w:hint="eastAsia" w:ascii="宋体" w:hAnsi="宋体" w:eastAsia="宋体" w:cs="楷体"/>
                <w:kern w:val="0"/>
                <w:sz w:val="18"/>
                <w:szCs w:val="18"/>
                <w:highlight w:val="none"/>
                <w:lang w:val="en-US" w:eastAsia="zh-CN" w:bidi="ar-SA"/>
              </w:rPr>
              <w:t>尺寸：长度≥</w:t>
            </w:r>
            <w:r>
              <w:rPr>
                <w:rFonts w:hint="eastAsia" w:ascii="宋体" w:hAnsi="宋体" w:cs="楷体"/>
                <w:kern w:val="0"/>
                <w:sz w:val="18"/>
                <w:szCs w:val="18"/>
                <w:highlight w:val="none"/>
                <w:lang w:val="en-US" w:eastAsia="zh-CN" w:bidi="ar-SA"/>
              </w:rPr>
              <w:t>4480mm</w:t>
            </w:r>
            <w:r>
              <w:rPr>
                <w:rFonts w:hint="eastAsia" w:ascii="宋体" w:hAnsi="宋体" w:eastAsia="宋体" w:cs="楷体"/>
                <w:kern w:val="0"/>
                <w:sz w:val="18"/>
                <w:szCs w:val="18"/>
                <w:highlight w:val="none"/>
                <w:lang w:val="en-US" w:eastAsia="zh-CN" w:bidi="ar-SA"/>
              </w:rPr>
              <w:t>，高度≥2</w:t>
            </w:r>
            <w:r>
              <w:rPr>
                <w:rFonts w:hint="eastAsia" w:ascii="宋体" w:hAnsi="宋体" w:cs="楷体"/>
                <w:kern w:val="0"/>
                <w:sz w:val="18"/>
                <w:szCs w:val="18"/>
                <w:highlight w:val="none"/>
                <w:lang w:val="en-US" w:eastAsia="zh-CN" w:bidi="ar-SA"/>
              </w:rPr>
              <w:t>8</w:t>
            </w:r>
            <w:r>
              <w:rPr>
                <w:rFonts w:hint="eastAsia" w:ascii="宋体" w:hAnsi="宋体" w:eastAsia="宋体" w:cs="楷体"/>
                <w:kern w:val="0"/>
                <w:sz w:val="18"/>
                <w:szCs w:val="18"/>
                <w:highlight w:val="none"/>
                <w:lang w:val="en-US" w:eastAsia="zh-CN" w:bidi="ar-SA"/>
              </w:rPr>
              <w:t>80</w:t>
            </w:r>
            <w:r>
              <w:rPr>
                <w:rFonts w:hint="eastAsia" w:ascii="宋体" w:hAnsi="宋体" w:cs="楷体"/>
                <w:kern w:val="0"/>
                <w:sz w:val="18"/>
                <w:szCs w:val="18"/>
                <w:highlight w:val="none"/>
                <w:lang w:val="en-US" w:eastAsia="zh-CN" w:bidi="ar-SA"/>
              </w:rPr>
              <w:t>mm</w:t>
            </w:r>
            <w:r>
              <w:rPr>
                <w:rFonts w:hint="eastAsia" w:ascii="宋体" w:hAnsi="宋体" w:eastAsia="宋体" w:cs="楷体"/>
                <w:kern w:val="0"/>
                <w:sz w:val="18"/>
                <w:szCs w:val="18"/>
                <w:highlight w:val="none"/>
                <w:lang w:val="en-US" w:eastAsia="zh-CN" w:bidi="ar-SA"/>
              </w:rPr>
              <w:t>（提供LED</w:t>
            </w:r>
            <w:r>
              <w:rPr>
                <w:rFonts w:hint="eastAsia" w:ascii="宋体" w:hAnsi="宋体" w:cs="楷体"/>
                <w:kern w:val="0"/>
                <w:sz w:val="18"/>
                <w:szCs w:val="18"/>
                <w:highlight w:val="none"/>
                <w:lang w:val="en-US" w:eastAsia="zh-CN" w:bidi="ar-SA"/>
              </w:rPr>
              <w:t>拼接</w:t>
            </w:r>
            <w:r>
              <w:rPr>
                <w:rFonts w:hint="eastAsia" w:ascii="宋体" w:hAnsi="宋体" w:eastAsia="宋体" w:cs="楷体"/>
                <w:kern w:val="0"/>
                <w:sz w:val="18"/>
                <w:szCs w:val="18"/>
                <w:highlight w:val="none"/>
                <w:lang w:val="en-US" w:eastAsia="zh-CN" w:bidi="ar-SA"/>
              </w:rPr>
              <w:t>尺寸图纸）</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3、</w:t>
            </w:r>
            <w:r>
              <w:rPr>
                <w:rFonts w:hint="eastAsia" w:ascii="宋体" w:hAnsi="宋体" w:eastAsia="宋体" w:cs="楷体"/>
                <w:kern w:val="0"/>
                <w:sz w:val="18"/>
                <w:szCs w:val="18"/>
                <w:highlight w:val="none"/>
                <w:lang w:val="en-US" w:eastAsia="zh-CN" w:bidi="ar-SA"/>
              </w:rPr>
              <w:t>白平衡亮度：800cd/㎡（6500K，校正后）0-255级可调，调节步长1级。</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4、</w:t>
            </w:r>
            <w:r>
              <w:rPr>
                <w:rFonts w:hint="eastAsia" w:ascii="宋体" w:hAnsi="宋体" w:eastAsia="宋体" w:cs="楷体"/>
                <w:kern w:val="0"/>
                <w:sz w:val="18"/>
                <w:szCs w:val="18"/>
                <w:highlight w:val="none"/>
                <w:lang w:val="en-US" w:eastAsia="zh-CN" w:bidi="ar-SA"/>
              </w:rPr>
              <w:t>色温可调范围：1000k~12000K，调节步长100K，并可自定义色温值。</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5、</w:t>
            </w:r>
            <w:r>
              <w:rPr>
                <w:rFonts w:hint="eastAsia" w:ascii="宋体" w:hAnsi="宋体" w:eastAsia="宋体" w:cs="楷体"/>
                <w:kern w:val="0"/>
                <w:sz w:val="18"/>
                <w:szCs w:val="18"/>
                <w:highlight w:val="none"/>
                <w:lang w:val="en-US" w:eastAsia="zh-CN" w:bidi="ar-SA"/>
              </w:rPr>
              <w:t>对比度≥8000:1。</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6、</w:t>
            </w:r>
            <w:r>
              <w:rPr>
                <w:rFonts w:hint="eastAsia" w:ascii="宋体" w:hAnsi="宋体" w:eastAsia="宋体" w:cs="楷体"/>
                <w:kern w:val="0"/>
                <w:sz w:val="18"/>
                <w:szCs w:val="18"/>
                <w:highlight w:val="none"/>
                <w:lang w:val="en-US" w:eastAsia="zh-CN" w:bidi="ar-SA"/>
              </w:rPr>
              <w:t>视角：水平视角≥170°，垂直视角≥170°。</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7、</w:t>
            </w:r>
            <w:r>
              <w:rPr>
                <w:rFonts w:hint="eastAsia" w:ascii="宋体" w:hAnsi="宋体" w:eastAsia="宋体" w:cs="楷体"/>
                <w:kern w:val="0"/>
                <w:sz w:val="18"/>
                <w:szCs w:val="18"/>
                <w:highlight w:val="none"/>
                <w:lang w:val="en-US" w:eastAsia="zh-CN" w:bidi="ar-SA"/>
              </w:rPr>
              <w:t>刷新频率≥3840HZ。</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8、</w:t>
            </w:r>
            <w:r>
              <w:rPr>
                <w:rFonts w:hint="eastAsia" w:ascii="宋体" w:hAnsi="宋体" w:eastAsia="宋体" w:cs="楷体"/>
                <w:kern w:val="0"/>
                <w:sz w:val="18"/>
                <w:szCs w:val="18"/>
                <w:highlight w:val="none"/>
                <w:lang w:val="en-US" w:eastAsia="zh-CN" w:bidi="ar-SA"/>
              </w:rPr>
              <w:t>显示屏亮度均匀性≥98%。</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9、</w:t>
            </w:r>
            <w:r>
              <w:rPr>
                <w:rFonts w:hint="eastAsia" w:ascii="宋体" w:hAnsi="宋体" w:eastAsia="宋体" w:cs="楷体"/>
                <w:kern w:val="0"/>
                <w:sz w:val="18"/>
                <w:szCs w:val="18"/>
                <w:highlight w:val="none"/>
                <w:lang w:val="en-US" w:eastAsia="zh-CN" w:bidi="ar-SA"/>
              </w:rPr>
              <w:t>显示屏色度均匀性：偏差在±0.002Cx,Cy 之内。</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10、</w:t>
            </w:r>
            <w:r>
              <w:rPr>
                <w:rFonts w:hint="eastAsia" w:ascii="宋体" w:hAnsi="宋体" w:eastAsia="宋体" w:cs="楷体"/>
                <w:kern w:val="0"/>
                <w:sz w:val="18"/>
                <w:szCs w:val="18"/>
                <w:highlight w:val="none"/>
                <w:lang w:val="en-US" w:eastAsia="zh-CN" w:bidi="ar-SA"/>
              </w:rPr>
              <w:t xml:space="preserve">像素中心距偏差≤2% </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11、</w:t>
            </w:r>
            <w:r>
              <w:rPr>
                <w:rFonts w:hint="eastAsia" w:ascii="宋体" w:hAnsi="宋体" w:eastAsia="宋体" w:cs="楷体"/>
                <w:kern w:val="0"/>
                <w:sz w:val="18"/>
                <w:szCs w:val="18"/>
                <w:highlight w:val="none"/>
                <w:lang w:val="en-US" w:eastAsia="zh-CN" w:bidi="ar-SA"/>
              </w:rPr>
              <w:t>显示单元平整度：≤0.05mm。</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12、</w:t>
            </w:r>
            <w:r>
              <w:rPr>
                <w:rFonts w:hint="eastAsia" w:ascii="宋体" w:hAnsi="宋体" w:eastAsia="宋体" w:cs="楷体"/>
                <w:kern w:val="0"/>
                <w:sz w:val="18"/>
                <w:szCs w:val="18"/>
                <w:highlight w:val="none"/>
                <w:lang w:val="en-US" w:eastAsia="zh-CN" w:bidi="ar-SA"/>
              </w:rPr>
              <w:t>峰值功耗≤340W/㎡。</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13、</w:t>
            </w:r>
            <w:r>
              <w:rPr>
                <w:rFonts w:hint="eastAsia" w:ascii="宋体" w:hAnsi="宋体" w:eastAsia="宋体" w:cs="楷体"/>
                <w:kern w:val="0"/>
                <w:sz w:val="18"/>
                <w:szCs w:val="18"/>
                <w:highlight w:val="none"/>
                <w:lang w:val="en-US" w:eastAsia="zh-CN" w:bidi="ar-SA"/>
              </w:rPr>
              <w:t>灰度：≥16bit。</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14、</w:t>
            </w:r>
            <w:r>
              <w:rPr>
                <w:rFonts w:hint="eastAsia" w:ascii="宋体" w:hAnsi="宋体" w:eastAsia="宋体" w:cs="楷体"/>
                <w:kern w:val="0"/>
                <w:sz w:val="18"/>
                <w:szCs w:val="18"/>
                <w:highlight w:val="none"/>
                <w:lang w:val="en-US" w:eastAsia="zh-CN" w:bidi="ar-SA"/>
              </w:rPr>
              <w:t>低亮高灰效果：100%亮度时，≥16bit灰度；20%亮度时，≥14bit 灰度。</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15、</w:t>
            </w:r>
            <w:r>
              <w:rPr>
                <w:rFonts w:hint="eastAsia" w:ascii="宋体" w:hAnsi="宋体" w:eastAsia="宋体" w:cs="楷体"/>
                <w:kern w:val="0"/>
                <w:sz w:val="18"/>
                <w:szCs w:val="18"/>
                <w:highlight w:val="none"/>
                <w:lang w:val="en-US" w:eastAsia="zh-CN" w:bidi="ar-SA"/>
              </w:rPr>
              <w:t>PCB采用8层以上电路板结构设计，焊盘采用沉金工艺处理，充分保证单模块安装的稳定性和抗氧化性。</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16、</w:t>
            </w:r>
            <w:r>
              <w:rPr>
                <w:rFonts w:hint="eastAsia" w:ascii="宋体" w:hAnsi="宋体" w:eastAsia="宋体" w:cs="楷体"/>
                <w:kern w:val="0"/>
                <w:sz w:val="18"/>
                <w:szCs w:val="18"/>
                <w:highlight w:val="none"/>
                <w:lang w:val="en-US" w:eastAsia="zh-CN" w:bidi="ar-SA"/>
              </w:rPr>
              <w:t>显示单元采用带PFC电源，功率因素≥0.95，转换效率≥86%</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17、</w:t>
            </w:r>
            <w:r>
              <w:rPr>
                <w:rFonts w:hint="eastAsia" w:ascii="宋体" w:hAnsi="宋体" w:eastAsia="宋体" w:cs="楷体"/>
                <w:kern w:val="0"/>
                <w:sz w:val="18"/>
                <w:szCs w:val="18"/>
                <w:highlight w:val="none"/>
                <w:lang w:val="en-US" w:eastAsia="zh-CN" w:bidi="ar-SA"/>
              </w:rPr>
              <w:t>采用先进的消隐电路设计，无“毛毛虫”、“鬼影”现象。</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18、</w:t>
            </w:r>
            <w:r>
              <w:rPr>
                <w:rFonts w:hint="eastAsia" w:ascii="宋体" w:hAnsi="宋体" w:eastAsia="宋体" w:cs="楷体"/>
                <w:kern w:val="0"/>
                <w:sz w:val="18"/>
                <w:szCs w:val="18"/>
                <w:highlight w:val="none"/>
                <w:lang w:val="en-US" w:eastAsia="zh-CN" w:bidi="ar-SA"/>
              </w:rPr>
              <w:t>逐点色度和亮度校正，模组带有可存储校正参数模块。</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19、</w:t>
            </w:r>
            <w:r>
              <w:rPr>
                <w:rFonts w:hint="eastAsia" w:ascii="宋体" w:hAnsi="宋体" w:eastAsia="宋体" w:cs="楷体"/>
                <w:kern w:val="0"/>
                <w:sz w:val="18"/>
                <w:szCs w:val="18"/>
                <w:highlight w:val="none"/>
                <w:lang w:val="en-US" w:eastAsia="zh-CN" w:bidi="ar-SA"/>
              </w:rPr>
              <w:t>带有智能（黑屏）节电功能，开启智能节电功能比没有开启节电40%</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20、</w:t>
            </w:r>
            <w:r>
              <w:rPr>
                <w:rFonts w:hint="eastAsia" w:ascii="宋体" w:hAnsi="宋体" w:eastAsia="宋体" w:cs="楷体"/>
                <w:kern w:val="0"/>
                <w:sz w:val="18"/>
                <w:szCs w:val="18"/>
                <w:highlight w:val="none"/>
                <w:lang w:val="en-US" w:eastAsia="zh-CN" w:bidi="ar-SA"/>
              </w:rPr>
              <w:t>模组和转接板间采用先进的浮动式排插设计（不允许使用有线的方式连接），可精准调节平整度，支持以模组为最小单位进行调整</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21、</w:t>
            </w:r>
            <w:r>
              <w:rPr>
                <w:rFonts w:hint="eastAsia" w:ascii="宋体" w:hAnsi="宋体" w:eastAsia="宋体" w:cs="楷体"/>
                <w:kern w:val="0"/>
                <w:sz w:val="18"/>
                <w:szCs w:val="18"/>
                <w:highlight w:val="none"/>
                <w:lang w:val="en-US" w:eastAsia="zh-CN" w:bidi="ar-SA"/>
              </w:rPr>
              <w:t>画面延时≤2MS</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22、</w:t>
            </w:r>
            <w:r>
              <w:rPr>
                <w:rFonts w:hint="eastAsia" w:ascii="宋体" w:hAnsi="宋体" w:eastAsia="宋体" w:cs="楷体"/>
                <w:kern w:val="0"/>
                <w:sz w:val="18"/>
                <w:szCs w:val="18"/>
                <w:highlight w:val="none"/>
                <w:lang w:val="en-US" w:eastAsia="zh-CN" w:bidi="ar-SA"/>
              </w:rPr>
              <w:t>内部采用线材低烟无卤，符合JB/T 10491-2004标准</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23、</w:t>
            </w:r>
            <w:r>
              <w:rPr>
                <w:rFonts w:hint="eastAsia" w:ascii="宋体" w:hAnsi="宋体" w:eastAsia="宋体" w:cs="楷体"/>
                <w:kern w:val="0"/>
                <w:sz w:val="18"/>
                <w:szCs w:val="18"/>
                <w:highlight w:val="none"/>
                <w:lang w:val="en-US" w:eastAsia="zh-CN" w:bidi="ar-SA"/>
              </w:rPr>
              <w:t>屏幕温升：GB/T 2423.22-2002标准，产品在运行12小时以后，屏体温度升高不超过20℃</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hAnsi="宋体" w:eastAsia="宋体" w:cs="楷体"/>
                <w:b/>
                <w:bCs/>
                <w:kern w:val="0"/>
                <w:sz w:val="18"/>
                <w:szCs w:val="18"/>
                <w:highlight w:val="none"/>
                <w:lang w:val="en-US" w:eastAsia="zh-CN"/>
              </w:rPr>
              <w:t>（以上参数项</w:t>
            </w:r>
            <w:r>
              <w:rPr>
                <w:rFonts w:hint="eastAsia" w:hAnsi="宋体" w:cs="楷体"/>
                <w:b/>
                <w:bCs/>
                <w:kern w:val="0"/>
                <w:sz w:val="18"/>
                <w:szCs w:val="18"/>
                <w:highlight w:val="none"/>
                <w:lang w:val="en-US" w:eastAsia="zh-CN"/>
              </w:rPr>
              <w:t>除特殊备注的项要求资料外，其余参数</w:t>
            </w:r>
            <w:r>
              <w:rPr>
                <w:rFonts w:hint="eastAsia" w:hAnsi="宋体" w:eastAsia="宋体" w:cs="楷体"/>
                <w:b/>
                <w:bCs/>
                <w:kern w:val="0"/>
                <w:sz w:val="18"/>
                <w:szCs w:val="18"/>
                <w:highlight w:val="none"/>
                <w:lang w:val="en-US" w:eastAsia="zh-CN"/>
              </w:rPr>
              <w:t>需提供佐证材料复印件加盖厂家公章逐项证明符合性，佐证材料不限于品牌官方网站介绍、品牌官方印刷的产品彩页、设备检测报告材料</w:t>
            </w:r>
            <w:r>
              <w:rPr>
                <w:rFonts w:hint="eastAsia" w:hAnsi="宋体" w:eastAsia="宋体" w:cs="楷体"/>
                <w:b/>
                <w:bCs/>
                <w:kern w:val="0"/>
                <w:sz w:val="18"/>
                <w:szCs w:val="18"/>
                <w:highlight w:val="none"/>
                <w:lang w:eastAsia="zh-CN"/>
              </w:rPr>
              <w:t>、产品厂家技术白皮书</w:t>
            </w:r>
            <w:r>
              <w:rPr>
                <w:rFonts w:hint="eastAsia" w:hAnsi="宋体" w:eastAsia="宋体" w:cs="楷体"/>
                <w:b/>
                <w:bCs/>
                <w:kern w:val="0"/>
                <w:sz w:val="18"/>
                <w:szCs w:val="18"/>
                <w:highlight w:val="none"/>
                <w:lang w:val="en-US" w:eastAsia="zh-CN"/>
              </w:rPr>
              <w:t>等，未提供视为负偏离项）</w:t>
            </w:r>
          </w:p>
          <w:p>
            <w:pPr>
              <w:pStyle w:val="9"/>
              <w:numPr>
                <w:ilvl w:val="0"/>
                <w:numId w:val="0"/>
              </w:numPr>
              <w:ind w:leftChars="0"/>
              <w:rPr>
                <w:rFonts w:hint="eastAsia" w:ascii="宋体" w:hAnsi="宋体" w:eastAsia="宋体" w:cs="楷体"/>
                <w:kern w:val="0"/>
                <w:sz w:val="18"/>
                <w:szCs w:val="18"/>
                <w:highlight w:val="none"/>
                <w:lang w:val="en-US" w:eastAsia="zh-CN" w:bidi="ar-SA"/>
              </w:rPr>
            </w:pP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w:t>
            </w:r>
          </w:p>
        </w:tc>
        <w:tc>
          <w:tcPr>
            <w:tcW w:w="290" w:type="pct"/>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color w:val="000000"/>
                <w:kern w:val="0"/>
                <w:sz w:val="20"/>
                <w:szCs w:val="20"/>
                <w:highlight w:val="none"/>
                <w:lang w:val="en-US" w:eastAsia="zh-CN"/>
              </w:rPr>
            </w:pPr>
            <w:r>
              <w:rPr>
                <w:rFonts w:hint="eastAsia" w:hAnsi="宋体" w:eastAsia="宋体" w:cs="宋体"/>
                <w:color w:val="000000"/>
                <w:kern w:val="0"/>
                <w:sz w:val="20"/>
                <w:szCs w:val="20"/>
                <w:highlight w:val="none"/>
                <w:lang w:val="en-US" w:eastAsia="zh-CN"/>
              </w:rPr>
              <w:t>12.9</w:t>
            </w:r>
          </w:p>
        </w:tc>
        <w:tc>
          <w:tcPr>
            <w:tcW w:w="682"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rPr>
              <w:t>QDISPLAY</w:t>
            </w:r>
            <w:r>
              <w:rPr>
                <w:rFonts w:hint="eastAsia" w:hAnsi="宋体" w:eastAsia="宋体" w:cs="宋体"/>
                <w:color w:val="000000"/>
                <w:kern w:val="0"/>
                <w:sz w:val="20"/>
                <w:szCs w:val="20"/>
                <w:highlight w:val="none"/>
                <w:lang w:eastAsia="zh-CN"/>
              </w:rPr>
              <w:t>、</w:t>
            </w:r>
            <w:r>
              <w:rPr>
                <w:rFonts w:hint="eastAsia" w:ascii="宋体" w:hAnsi="宋体" w:eastAsia="宋体" w:cs="宋体"/>
                <w:color w:val="000000"/>
                <w:kern w:val="0"/>
                <w:sz w:val="20"/>
                <w:szCs w:val="20"/>
                <w:highlight w:val="none"/>
              </w:rPr>
              <w:t>艾比森</w:t>
            </w:r>
            <w:r>
              <w:rPr>
                <w:rFonts w:hint="eastAsia" w:hAnsi="宋体" w:eastAsia="宋体" w:cs="宋体"/>
                <w:color w:val="000000"/>
                <w:kern w:val="0"/>
                <w:sz w:val="20"/>
                <w:szCs w:val="20"/>
                <w:highlight w:val="none"/>
                <w:lang w:eastAsia="zh-CN"/>
              </w:rPr>
              <w:t>、联建</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2</w:t>
            </w:r>
          </w:p>
        </w:tc>
        <w:tc>
          <w:tcPr>
            <w:tcW w:w="568"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LED显示控制器</w:t>
            </w:r>
          </w:p>
        </w:tc>
        <w:tc>
          <w:tcPr>
            <w:tcW w:w="2927" w:type="pct"/>
            <w:tcBorders>
              <w:top w:val="nil"/>
              <w:left w:val="nil"/>
              <w:bottom w:val="single" w:color="auto" w:sz="4" w:space="0"/>
              <w:right w:val="single" w:color="auto" w:sz="4" w:space="0"/>
            </w:tcBorders>
            <w:noWrap w:val="0"/>
            <w:vAlign w:val="center"/>
          </w:tcPr>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1、2U 标准机架式结构，配备彩色LCD操作显示屏；</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2、支持以下输入信号接口（提供ilAC-MRA及CNAS认可检测机构提供的检测报告）；2路DP（均支持4K分辨率输入），2路DVI，3路HDMI，1路SDI带环出）。</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3、支持以下输出信号接口（提供ilAC-MRA及CNAS认可检测机构提供的检测报告；16路网口，整机最大支持分辨率为960万像素，支持自定义分辨率，最宽16000像素，最高8000像素，1路DVI；</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4、支持USB(TYPE B)，UART(RJ45)，RS232控制端口；</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5、具备4K输入信号接口，单路输入信号可支持3840×2160@60Hz或7680×1080@60Hz分辨率的输入（提供ilAC-MRA及CNAS认可检测机构提供的检测报告）；</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6、支持K-HDR功能：能够对图像进行实时处理，使得显示屏在播放普通SDR图像素材时可以实现HDR显示效果（可提供ilAC-MRA及CNAS认可检测机构提供的检测报告）；</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7、支持EDID配置管理：无需外接电脑，直接在设备上更改EDID，自定义输入分辨率（提供ilAC-MRA及CNAS认可检测机构提供的检测报告）。</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8、支持8画面显示：可在屏幕上显示8个画面，所有信号均可同时上屏（提供ilAC-MRA及CNAS认可检测机构提供的检测报告）。</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9、可消除某个画面中指定的颜色图像，可修改任意一个画面的透明度值（提供ilAC-MRA及CNAS认可检测机构提供的检测报告）。</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10、具备预览输出接口，可同时监视当前输出画面内容及预览所有输入信号的画面内容（提供ilAC-MRA及CNAS认可检测机构提供的检测报告）。</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11、支持Super Resolution放大技术：视频补偿处理算法。画面缩小无尺寸限制，并保留图像细节，减轻画面放大多倍后产生的失焦现象 。</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12、支持去黑边/剪裁功能：解决前端信号（尤其是VGA信号及非标准摄像头的输出信号）产生的黑边问题，针对任意信号源做任意裁剪（依旧保持满屏状态）。</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13、无缝切换：设备在进行两个信号或两个模式间的切换时，无黑屏、停顿、闪烁等现象（提供ilAC-MRA及CNAS认可检测机构提供的检测报告）。</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14、支持按键锁定，防止误操作。</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15、支持一键黑屏，可将输出画面切换至黑屏状态（可提供ilAC-MRA及CNAS认可检测机构提供的检测报告）。</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16、支持信号热备份功能，对于任意一路输入信号， 可指定另一路输入信 号作为其备份信号， 在播放该信号时， 若该信号发生丢失， 备份信号会自动切换至屏幕上。（可提供ilAC-MRA及CNAS认可机构提供的检测报告）</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17、支持按键锁定，防止误操作。</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18、提供设备软件著作权登记证书。</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19、提供控制卡生产厂家针对本项目的售后服务承诺函。</w:t>
            </w:r>
          </w:p>
          <w:p>
            <w:pPr>
              <w:pStyle w:val="9"/>
              <w:numPr>
                <w:ilvl w:val="0"/>
                <w:numId w:val="0"/>
              </w:numPr>
              <w:ind w:leftChars="0"/>
              <w:rPr>
                <w:rFonts w:hint="default"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20、需提供项目唯一授权函</w:t>
            </w:r>
          </w:p>
          <w:p>
            <w:pPr>
              <w:pStyle w:val="9"/>
              <w:numPr>
                <w:ilvl w:val="0"/>
                <w:numId w:val="0"/>
              </w:numPr>
              <w:ind w:leftChars="0"/>
              <w:rPr>
                <w:rFonts w:hint="eastAsia" w:ascii="宋体" w:hAnsi="宋体" w:eastAsia="宋体" w:cs="楷体"/>
                <w:kern w:val="0"/>
                <w:sz w:val="18"/>
                <w:szCs w:val="18"/>
                <w:highlight w:val="none"/>
              </w:rPr>
            </w:pPr>
            <w:r>
              <w:rPr>
                <w:rFonts w:hint="eastAsia" w:hAnsi="宋体" w:eastAsia="宋体" w:cs="楷体"/>
                <w:b/>
                <w:bCs/>
                <w:kern w:val="0"/>
                <w:sz w:val="18"/>
                <w:szCs w:val="18"/>
                <w:highlight w:val="none"/>
                <w:lang w:val="en-US" w:eastAsia="zh-CN"/>
              </w:rPr>
              <w:t>（以上参数项</w:t>
            </w:r>
            <w:r>
              <w:rPr>
                <w:rFonts w:hint="eastAsia" w:hAnsi="宋体" w:cs="楷体"/>
                <w:b/>
                <w:bCs/>
                <w:kern w:val="0"/>
                <w:sz w:val="18"/>
                <w:szCs w:val="18"/>
                <w:highlight w:val="none"/>
                <w:lang w:val="en-US" w:eastAsia="zh-CN"/>
              </w:rPr>
              <w:t>除特殊备注的项要求资料外，其余参数</w:t>
            </w:r>
            <w:r>
              <w:rPr>
                <w:rFonts w:hint="eastAsia" w:hAnsi="宋体" w:eastAsia="宋体" w:cs="楷体"/>
                <w:b/>
                <w:bCs/>
                <w:kern w:val="0"/>
                <w:sz w:val="18"/>
                <w:szCs w:val="18"/>
                <w:highlight w:val="none"/>
                <w:lang w:val="en-US" w:eastAsia="zh-CN"/>
              </w:rPr>
              <w:t>需提供佐证材料复印件加盖厂家公章逐项证明符合性，佐证材料不限于品牌官方网站介绍、品牌官方印刷的产品彩页、设备检测报告材料</w:t>
            </w:r>
            <w:r>
              <w:rPr>
                <w:rFonts w:hint="eastAsia" w:hAnsi="宋体" w:eastAsia="宋体" w:cs="楷体"/>
                <w:b/>
                <w:bCs/>
                <w:kern w:val="0"/>
                <w:sz w:val="18"/>
                <w:szCs w:val="18"/>
                <w:highlight w:val="none"/>
                <w:lang w:eastAsia="zh-CN"/>
              </w:rPr>
              <w:t>、产品厂家技术白皮书</w:t>
            </w:r>
            <w:r>
              <w:rPr>
                <w:rFonts w:hint="eastAsia" w:hAnsi="宋体" w:eastAsia="宋体" w:cs="楷体"/>
                <w:b/>
                <w:bCs/>
                <w:kern w:val="0"/>
                <w:sz w:val="18"/>
                <w:szCs w:val="18"/>
                <w:highlight w:val="none"/>
                <w:lang w:val="en-US" w:eastAsia="zh-CN"/>
              </w:rPr>
              <w:t>等，未提供视为负偏离项）</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台</w:t>
            </w:r>
          </w:p>
        </w:tc>
        <w:tc>
          <w:tcPr>
            <w:tcW w:w="290"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0"/>
                <w:szCs w:val="20"/>
                <w:highlight w:val="none"/>
              </w:rPr>
            </w:pPr>
            <w:r>
              <w:rPr>
                <w:rFonts w:hint="eastAsia" w:hAnsi="宋体" w:eastAsia="宋体" w:cs="宋体"/>
                <w:color w:val="000000"/>
                <w:kern w:val="0"/>
                <w:sz w:val="20"/>
                <w:szCs w:val="20"/>
                <w:highlight w:val="none"/>
                <w:lang w:val="en-US" w:eastAsia="zh-CN"/>
              </w:rPr>
              <w:t>1</w:t>
            </w:r>
            <w:r>
              <w:rPr>
                <w:rFonts w:hint="eastAsia" w:ascii="宋体" w:hAnsi="宋体" w:eastAsia="宋体" w:cs="宋体"/>
                <w:color w:val="000000"/>
                <w:kern w:val="0"/>
                <w:sz w:val="20"/>
                <w:szCs w:val="20"/>
                <w:highlight w:val="none"/>
              </w:rPr>
              <w:t xml:space="preserve"> </w:t>
            </w:r>
          </w:p>
        </w:tc>
        <w:tc>
          <w:tcPr>
            <w:tcW w:w="682"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0"/>
                <w:szCs w:val="20"/>
                <w:highlight w:val="none"/>
              </w:rPr>
            </w:pPr>
            <w:r>
              <w:rPr>
                <w:rFonts w:hint="eastAsia" w:hAnsi="宋体" w:eastAsia="宋体" w:cs="宋体"/>
                <w:color w:val="000000"/>
                <w:kern w:val="0"/>
                <w:sz w:val="20"/>
                <w:szCs w:val="20"/>
                <w:highlight w:val="none"/>
                <w:lang w:eastAsia="zh-CN"/>
              </w:rPr>
              <w:t>凯视达、</w:t>
            </w:r>
            <w:r>
              <w:rPr>
                <w:rFonts w:hint="eastAsia" w:ascii="宋体" w:hAnsi="宋体" w:eastAsia="宋体" w:cs="宋体"/>
                <w:color w:val="000000"/>
                <w:kern w:val="0"/>
                <w:sz w:val="20"/>
                <w:szCs w:val="20"/>
                <w:highlight w:val="none"/>
              </w:rPr>
              <w:t>艾比森</w:t>
            </w:r>
            <w:r>
              <w:rPr>
                <w:rFonts w:hint="eastAsia" w:hAnsi="宋体" w:eastAsia="宋体" w:cs="宋体"/>
                <w:color w:val="000000"/>
                <w:kern w:val="0"/>
                <w:sz w:val="20"/>
                <w:szCs w:val="20"/>
                <w:highlight w:val="none"/>
                <w:lang w:eastAsia="zh-CN"/>
              </w:rPr>
              <w:t>、联建</w:t>
            </w:r>
            <w:r>
              <w:rPr>
                <w:rFonts w:hint="eastAsia" w:ascii="宋体" w:hAnsi="宋体" w:eastAsia="宋体" w:cs="宋体"/>
                <w:color w:val="000000"/>
                <w:kern w:val="0"/>
                <w:sz w:val="20"/>
                <w:szCs w:val="20"/>
                <w:highlight w:val="none"/>
              </w:rPr>
              <w:t>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3</w:t>
            </w:r>
          </w:p>
        </w:tc>
        <w:tc>
          <w:tcPr>
            <w:tcW w:w="568"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LED控制接收卡</w:t>
            </w:r>
          </w:p>
        </w:tc>
        <w:tc>
          <w:tcPr>
            <w:tcW w:w="2927" w:type="pct"/>
            <w:tcBorders>
              <w:top w:val="nil"/>
              <w:left w:val="nil"/>
              <w:bottom w:val="single" w:color="auto" w:sz="4" w:space="0"/>
              <w:right w:val="single" w:color="auto" w:sz="4" w:space="0"/>
            </w:tcBorders>
            <w:noWrap w:val="0"/>
            <w:vAlign w:val="top"/>
          </w:tcPr>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1、单卡16个标准HUB75E接口，输出24组RGB数据。</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2、单卡最大支持128×1024像素带载。</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3、支持高灰高刷、低亮高灰显示，可消除某行偏暗、低灰偏红、鬼影等细节问题。</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4、支持各种PWM芯片、双锁存芯片、逐点检测芯片及通用芯片。</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5、支持静态屏、1/2~1/64扫之间的任意扫描类型。</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6、支持一键回读所有配置文件信息。</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7、支持一键修复功能，更换卡时无需重新调试。</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8、支持网络通信状态的实时检测，及网线连接顺序的检测。</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9、为保证产品后续升级的安全性，程序升级支持断电保护功能。</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10、支持电源反接保护。</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11、提供LED控制系统计算机软件著作权登记证书。</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12、提供控制卡生产厂家针对本项目的售后服务承诺函。</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13、控制系统的播放软件具备多种媒体的播放能力，除视频、图片、音频等媒体文件外，还可添加OFFICE文件、本地截屏、网络地址、采集卡。（提供第三方机构检测报告）支持HDBASET/CVBS/VGA/DVI-D/HDMI/SDI/YPbPr/DVI Dual-Link信号扩展输入，所有输入信号类型可以混合配置。</w:t>
            </w:r>
          </w:p>
          <w:p>
            <w:pPr>
              <w:widowControl/>
              <w:jc w:val="left"/>
              <w:rPr>
                <w:rFonts w:hint="eastAsia" w:ascii="微软雅黑" w:hAnsi="微软雅黑" w:eastAsia="微软雅黑" w:cs="宋体"/>
                <w:color w:val="000000"/>
                <w:kern w:val="0"/>
                <w:sz w:val="18"/>
                <w:szCs w:val="18"/>
                <w:highlight w:val="none"/>
              </w:rPr>
            </w:pPr>
            <w:r>
              <w:rPr>
                <w:rFonts w:hint="eastAsia" w:ascii="宋体" w:hAnsi="宋体" w:eastAsia="宋体" w:cs="宋体"/>
                <w:b/>
                <w:bCs/>
                <w:kern w:val="0"/>
                <w:sz w:val="18"/>
                <w:szCs w:val="18"/>
                <w:highlight w:val="none"/>
                <w:lang w:val="en-US" w:eastAsia="zh-CN"/>
              </w:rPr>
              <w:t>（以上参数项除特殊备注的项要求资料外，其余参数需提供佐证材料复印件加盖厂家公章逐项证明符合性，佐证材料不限于品牌官方网站介绍、品牌官方印刷的产品彩页、设备检测报告材料</w:t>
            </w:r>
            <w:r>
              <w:rPr>
                <w:rFonts w:hint="eastAsia" w:hAnsi="宋体" w:eastAsia="宋体" w:cs="楷体"/>
                <w:b/>
                <w:bCs/>
                <w:kern w:val="0"/>
                <w:sz w:val="18"/>
                <w:szCs w:val="18"/>
                <w:highlight w:val="none"/>
                <w:lang w:eastAsia="zh-CN"/>
              </w:rPr>
              <w:t>、产品厂家技术白皮书</w:t>
            </w:r>
            <w:r>
              <w:rPr>
                <w:rFonts w:hint="eastAsia" w:ascii="宋体" w:hAnsi="宋体" w:eastAsia="宋体" w:cs="宋体"/>
                <w:b/>
                <w:bCs/>
                <w:kern w:val="0"/>
                <w:sz w:val="18"/>
                <w:szCs w:val="18"/>
                <w:highlight w:val="none"/>
                <w:lang w:val="en-US" w:eastAsia="zh-CN"/>
              </w:rPr>
              <w:t>等，未提供视为负偏离项）</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套</w:t>
            </w:r>
          </w:p>
        </w:tc>
        <w:tc>
          <w:tcPr>
            <w:tcW w:w="290"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0"/>
                <w:szCs w:val="20"/>
                <w:highlight w:val="none"/>
              </w:rPr>
            </w:pPr>
            <w:r>
              <w:rPr>
                <w:rFonts w:hint="eastAsia" w:hAnsi="宋体" w:eastAsia="宋体" w:cs="宋体"/>
                <w:color w:val="000000"/>
                <w:kern w:val="0"/>
                <w:sz w:val="20"/>
                <w:szCs w:val="20"/>
                <w:highlight w:val="none"/>
                <w:lang w:val="en-US" w:eastAsia="zh-CN"/>
              </w:rPr>
              <w:t>50</w:t>
            </w:r>
            <w:r>
              <w:rPr>
                <w:rFonts w:hint="eastAsia" w:ascii="宋体" w:hAnsi="宋体" w:eastAsia="宋体" w:cs="宋体"/>
                <w:color w:val="000000"/>
                <w:kern w:val="0"/>
                <w:sz w:val="20"/>
                <w:szCs w:val="20"/>
                <w:highlight w:val="none"/>
              </w:rPr>
              <w:t xml:space="preserve"> </w:t>
            </w:r>
          </w:p>
        </w:tc>
        <w:tc>
          <w:tcPr>
            <w:tcW w:w="682"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0"/>
                <w:szCs w:val="20"/>
                <w:highlight w:val="none"/>
              </w:rPr>
            </w:pPr>
            <w:r>
              <w:rPr>
                <w:rFonts w:hint="eastAsia" w:hAnsi="宋体" w:eastAsia="宋体" w:cs="宋体"/>
                <w:color w:val="000000"/>
                <w:kern w:val="0"/>
                <w:sz w:val="20"/>
                <w:szCs w:val="20"/>
                <w:highlight w:val="none"/>
                <w:lang w:eastAsia="zh-CN"/>
              </w:rPr>
              <w:t>凯视达、</w:t>
            </w:r>
            <w:r>
              <w:rPr>
                <w:rFonts w:hint="eastAsia" w:ascii="宋体" w:hAnsi="宋体" w:eastAsia="宋体" w:cs="宋体"/>
                <w:color w:val="000000"/>
                <w:kern w:val="0"/>
                <w:sz w:val="20"/>
                <w:szCs w:val="20"/>
                <w:highlight w:val="none"/>
              </w:rPr>
              <w:t>艾比森</w:t>
            </w:r>
            <w:r>
              <w:rPr>
                <w:rFonts w:hint="eastAsia" w:hAnsi="宋体" w:eastAsia="宋体" w:cs="宋体"/>
                <w:color w:val="000000"/>
                <w:kern w:val="0"/>
                <w:sz w:val="20"/>
                <w:szCs w:val="20"/>
                <w:highlight w:val="none"/>
                <w:lang w:eastAsia="zh-CN"/>
              </w:rPr>
              <w:t>、联建</w:t>
            </w:r>
            <w:r>
              <w:rPr>
                <w:rFonts w:hint="eastAsia" w:ascii="宋体" w:hAnsi="宋体" w:eastAsia="宋体" w:cs="宋体"/>
                <w:color w:val="000000"/>
                <w:kern w:val="0"/>
                <w:sz w:val="20"/>
                <w:szCs w:val="20"/>
                <w:highlight w:val="none"/>
              </w:rPr>
              <w:t>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4</w:t>
            </w:r>
          </w:p>
        </w:tc>
        <w:tc>
          <w:tcPr>
            <w:tcW w:w="568"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LED专用电源</w:t>
            </w:r>
          </w:p>
        </w:tc>
        <w:tc>
          <w:tcPr>
            <w:tcW w:w="2927" w:type="pct"/>
            <w:tcBorders>
              <w:top w:val="nil"/>
              <w:left w:val="nil"/>
              <w:bottom w:val="single" w:color="auto" w:sz="4" w:space="0"/>
              <w:right w:val="single" w:color="auto" w:sz="4" w:space="0"/>
            </w:tcBorders>
            <w:noWrap w:val="0"/>
            <w:vAlign w:val="center"/>
          </w:tcPr>
          <w:p>
            <w:pPr>
              <w:widowControl/>
              <w:jc w:val="left"/>
              <w:rPr>
                <w:rFonts w:hint="eastAsia" w:ascii="微软雅黑" w:hAnsi="微软雅黑" w:eastAsia="微软雅黑" w:cs="宋体"/>
                <w:color w:val="000000"/>
                <w:kern w:val="0"/>
                <w:sz w:val="20"/>
                <w:szCs w:val="20"/>
                <w:highlight w:val="none"/>
              </w:rPr>
            </w:pPr>
            <w:r>
              <w:rPr>
                <w:rFonts w:hint="eastAsia" w:ascii="宋体" w:hAnsi="宋体" w:eastAsia="宋体" w:cs="楷体"/>
                <w:kern w:val="0"/>
                <w:sz w:val="18"/>
                <w:szCs w:val="18"/>
                <w:highlight w:val="none"/>
                <w:lang w:val="en-US" w:eastAsia="zh-CN" w:bidi="ar-SA"/>
              </w:rPr>
              <w:t>LED专用200W电源</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台</w:t>
            </w:r>
          </w:p>
        </w:tc>
        <w:tc>
          <w:tcPr>
            <w:tcW w:w="290" w:type="pct"/>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color w:val="000000"/>
                <w:kern w:val="0"/>
                <w:sz w:val="20"/>
                <w:szCs w:val="20"/>
                <w:highlight w:val="none"/>
                <w:lang w:val="en-US" w:eastAsia="zh-CN"/>
              </w:rPr>
            </w:pPr>
            <w:r>
              <w:rPr>
                <w:rFonts w:hint="eastAsia" w:hAnsi="宋体" w:eastAsia="宋体" w:cs="宋体"/>
                <w:color w:val="000000"/>
                <w:kern w:val="0"/>
                <w:sz w:val="20"/>
                <w:szCs w:val="20"/>
                <w:highlight w:val="none"/>
                <w:lang w:val="en-US" w:eastAsia="zh-CN"/>
              </w:rPr>
              <w:t>50</w:t>
            </w:r>
          </w:p>
        </w:tc>
        <w:tc>
          <w:tcPr>
            <w:tcW w:w="682"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0"/>
                <w:szCs w:val="20"/>
                <w:highlight w:val="none"/>
              </w:rPr>
            </w:pPr>
            <w:r>
              <w:rPr>
                <w:rFonts w:hint="eastAsia" w:hAnsi="宋体" w:eastAsia="宋体" w:cs="宋体"/>
                <w:color w:val="000000"/>
                <w:kern w:val="0"/>
                <w:sz w:val="20"/>
                <w:szCs w:val="20"/>
                <w:highlight w:val="none"/>
                <w:lang w:eastAsia="zh-CN"/>
              </w:rPr>
              <w:t>荣电、</w:t>
            </w:r>
            <w:r>
              <w:rPr>
                <w:rFonts w:hint="eastAsia" w:ascii="宋体" w:hAnsi="宋体" w:eastAsia="宋体" w:cs="宋体"/>
                <w:color w:val="000000"/>
                <w:kern w:val="0"/>
                <w:sz w:val="20"/>
                <w:szCs w:val="20"/>
                <w:highlight w:val="none"/>
              </w:rPr>
              <w:t>艾比森</w:t>
            </w:r>
            <w:r>
              <w:rPr>
                <w:rFonts w:hint="eastAsia" w:hAnsi="宋体" w:eastAsia="宋体" w:cs="宋体"/>
                <w:color w:val="000000"/>
                <w:kern w:val="0"/>
                <w:sz w:val="20"/>
                <w:szCs w:val="20"/>
                <w:highlight w:val="none"/>
                <w:lang w:eastAsia="zh-CN"/>
              </w:rPr>
              <w:t>、联建</w:t>
            </w:r>
            <w:r>
              <w:rPr>
                <w:rFonts w:hint="eastAsia" w:ascii="宋体" w:hAnsi="宋体" w:eastAsia="宋体" w:cs="宋体"/>
                <w:color w:val="000000"/>
                <w:kern w:val="0"/>
                <w:sz w:val="20"/>
                <w:szCs w:val="20"/>
                <w:highlight w:val="none"/>
              </w:rPr>
              <w:t>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5</w:t>
            </w:r>
          </w:p>
        </w:tc>
        <w:tc>
          <w:tcPr>
            <w:tcW w:w="568"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控制软件</w:t>
            </w:r>
          </w:p>
        </w:tc>
        <w:tc>
          <w:tcPr>
            <w:tcW w:w="2927" w:type="pct"/>
            <w:tcBorders>
              <w:top w:val="nil"/>
              <w:left w:val="nil"/>
              <w:bottom w:val="single" w:color="auto" w:sz="4" w:space="0"/>
              <w:right w:val="single" w:color="auto" w:sz="4" w:space="0"/>
            </w:tcBorders>
            <w:noWrap w:val="0"/>
            <w:vAlign w:val="top"/>
          </w:tcPr>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1、支持8K超高清视频硬件解码，降低电脑CPU占用率；</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2、具有编辑渲染/丢帧渲染等渲染方式；支持软解/硬解解码方式，输出图像帧率1-60Hz任意调整；</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3、支持多级抗锯齿处理，消除图像输出边缘凹凸锯齿现象；</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4、支持流媒体/网页/office/等多种文件播放管理；Word/PPT实现自动翻页滚动播放（提供相应检测报告；）</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5、支持CPU、内存、GPU、显存、磁盘容量占比显示（提供产品满足功能截图盖章）</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6、支持视频图片、网页、PPT等文件0-360°任意旋转、含X Y轴调节，左右上下任意翻面，可任意调节播放内容坐标轴轴（提供产品满足功能截图盖章）</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7、支持多文件列表播放，单文件循环播放等多种播放方式；</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8、支持场景预存、读取和自动轮巡，不限制场景保存数量；</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9、支持场景/画面的淡入淡出无缝切换，无黑屏、花屏、闪屏等不良现象；</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10、支持素材可独立播放预览，确保播放无失误。</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11、支持素材标签管理，可根据不同应用场景对素材进行分类管理；</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12、 具有屏幕管理系统，任意设定屏幕大小和数量，可视化编播管理，所见即所得；</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13、支持一键锁定，防止误操作；</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14、支持串口控制和UDP协议下的远程指令控制；                                                                                                                                                                                                                                                           15、支持画面裁剪/透明度/羽化/亮度/对比度调整（提供产品满足功能截图盖章）</w:t>
            </w:r>
          </w:p>
          <w:p>
            <w:pPr>
              <w:pStyle w:val="9"/>
              <w:numPr>
                <w:ilvl w:val="0"/>
                <w:numId w:val="0"/>
              </w:numPr>
              <w:ind w:leftChars="0"/>
              <w:rPr>
                <w:rFonts w:hint="eastAsia" w:ascii="宋体" w:hAnsi="宋体" w:cs="楷体"/>
                <w:kern w:val="0"/>
                <w:sz w:val="18"/>
                <w:szCs w:val="18"/>
                <w:highlight w:val="none"/>
                <w:lang w:val="en-US" w:eastAsia="zh-CN" w:bidi="ar-SA"/>
              </w:rPr>
            </w:pPr>
            <w:r>
              <w:rPr>
                <w:rFonts w:hint="eastAsia" w:ascii="宋体" w:hAnsi="宋体" w:eastAsia="宋体" w:cs="宋体"/>
                <w:b/>
                <w:bCs/>
                <w:kern w:val="0"/>
                <w:sz w:val="18"/>
                <w:szCs w:val="18"/>
                <w:highlight w:val="none"/>
                <w:lang w:val="en-US" w:eastAsia="zh-CN"/>
              </w:rPr>
              <w:t>（以上参数项除特殊备注的项要求资料外，其余参数需提供佐证材料复印件加盖厂家公章逐项证明符合性，佐证材料不限于品牌官方网站介绍、品牌官方印刷的产品彩页、设备检测报告材料</w:t>
            </w:r>
            <w:r>
              <w:rPr>
                <w:rFonts w:hint="eastAsia" w:hAnsi="宋体" w:eastAsia="宋体" w:cs="楷体"/>
                <w:b/>
                <w:bCs/>
                <w:kern w:val="0"/>
                <w:sz w:val="18"/>
                <w:szCs w:val="18"/>
                <w:highlight w:val="none"/>
                <w:lang w:eastAsia="zh-CN"/>
              </w:rPr>
              <w:t>、产品厂家技术白皮书</w:t>
            </w:r>
            <w:r>
              <w:rPr>
                <w:rFonts w:hint="eastAsia" w:ascii="宋体" w:hAnsi="宋体" w:eastAsia="宋体" w:cs="宋体"/>
                <w:b/>
                <w:bCs/>
                <w:kern w:val="0"/>
                <w:sz w:val="18"/>
                <w:szCs w:val="18"/>
                <w:highlight w:val="none"/>
                <w:lang w:val="en-US" w:eastAsia="zh-CN"/>
              </w:rPr>
              <w:t>等，未提供视为负偏离项）</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个　</w:t>
            </w:r>
          </w:p>
        </w:tc>
        <w:tc>
          <w:tcPr>
            <w:tcW w:w="290"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0"/>
                <w:szCs w:val="20"/>
                <w:highlight w:val="none"/>
                <w:lang w:eastAsia="zh-CN"/>
              </w:rPr>
            </w:pPr>
            <w:r>
              <w:rPr>
                <w:rFonts w:hint="eastAsia" w:hAnsi="宋体" w:eastAsia="宋体" w:cs="宋体"/>
                <w:color w:val="000000"/>
                <w:kern w:val="0"/>
                <w:sz w:val="20"/>
                <w:szCs w:val="20"/>
                <w:highlight w:val="none"/>
                <w:lang w:val="en-US" w:eastAsia="zh-CN"/>
              </w:rPr>
              <w:t>1</w:t>
            </w:r>
          </w:p>
        </w:tc>
        <w:tc>
          <w:tcPr>
            <w:tcW w:w="682"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0"/>
                <w:szCs w:val="20"/>
                <w:highlight w:val="none"/>
              </w:rPr>
            </w:pPr>
            <w:r>
              <w:rPr>
                <w:rFonts w:hint="eastAsia" w:hAnsi="宋体" w:eastAsia="宋体" w:cs="宋体"/>
                <w:color w:val="000000"/>
                <w:kern w:val="0"/>
                <w:sz w:val="20"/>
                <w:szCs w:val="20"/>
                <w:highlight w:val="none"/>
                <w:lang w:eastAsia="zh-CN"/>
              </w:rPr>
              <w:t>凯视达、</w:t>
            </w:r>
            <w:r>
              <w:rPr>
                <w:rFonts w:hint="eastAsia" w:ascii="宋体" w:hAnsi="宋体" w:eastAsia="宋体" w:cs="宋体"/>
                <w:color w:val="000000"/>
                <w:kern w:val="0"/>
                <w:sz w:val="20"/>
                <w:szCs w:val="20"/>
                <w:highlight w:val="none"/>
              </w:rPr>
              <w:t>艾比森</w:t>
            </w:r>
            <w:r>
              <w:rPr>
                <w:rFonts w:hint="eastAsia" w:hAnsi="宋体" w:eastAsia="宋体" w:cs="宋体"/>
                <w:color w:val="000000"/>
                <w:kern w:val="0"/>
                <w:sz w:val="20"/>
                <w:szCs w:val="20"/>
                <w:highlight w:val="none"/>
                <w:lang w:eastAsia="zh-CN"/>
              </w:rPr>
              <w:t>、联建</w:t>
            </w:r>
            <w:r>
              <w:rPr>
                <w:rFonts w:hint="eastAsia" w:ascii="宋体" w:hAnsi="宋体" w:eastAsia="宋体" w:cs="宋体"/>
                <w:color w:val="000000"/>
                <w:kern w:val="0"/>
                <w:sz w:val="20"/>
                <w:szCs w:val="20"/>
                <w:highlight w:val="none"/>
              </w:rPr>
              <w:t>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6</w:t>
            </w:r>
          </w:p>
        </w:tc>
        <w:tc>
          <w:tcPr>
            <w:tcW w:w="568" w:type="pct"/>
            <w:tcBorders>
              <w:top w:val="nil"/>
              <w:left w:val="nil"/>
              <w:bottom w:val="single" w:color="auto" w:sz="4" w:space="0"/>
              <w:right w:val="single" w:color="auto" w:sz="4" w:space="0"/>
            </w:tcBorders>
            <w:noWrap w:val="0"/>
            <w:vAlign w:val="center"/>
          </w:tcPr>
          <w:p>
            <w:pPr>
              <w:widowControl/>
              <w:jc w:val="both"/>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配电系统</w:t>
            </w:r>
          </w:p>
        </w:tc>
        <w:tc>
          <w:tcPr>
            <w:tcW w:w="2927" w:type="pct"/>
            <w:tcBorders>
              <w:top w:val="nil"/>
              <w:left w:val="nil"/>
              <w:bottom w:val="single" w:color="auto" w:sz="4" w:space="0"/>
              <w:right w:val="single" w:color="auto" w:sz="4" w:space="0"/>
            </w:tcBorders>
            <w:noWrap w:val="0"/>
            <w:vAlign w:val="center"/>
          </w:tcPr>
          <w:p>
            <w:pPr>
              <w:widowControl/>
              <w:jc w:val="both"/>
              <w:rPr>
                <w:rFonts w:hint="eastAsia" w:ascii="微软雅黑" w:hAnsi="微软雅黑" w:eastAsia="微软雅黑" w:cs="宋体"/>
                <w:color w:val="000000"/>
                <w:kern w:val="0"/>
                <w:sz w:val="20"/>
                <w:szCs w:val="20"/>
                <w:highlight w:val="none"/>
                <w:lang w:eastAsia="zh-CN"/>
              </w:rPr>
            </w:pPr>
            <w:r>
              <w:rPr>
                <w:rFonts w:hint="eastAsia" w:ascii="微软雅黑" w:hAnsi="微软雅黑" w:eastAsia="微软雅黑" w:cs="宋体"/>
                <w:color w:val="000000"/>
                <w:kern w:val="0"/>
                <w:sz w:val="20"/>
                <w:szCs w:val="20"/>
                <w:highlight w:val="none"/>
                <w:lang w:eastAsia="zh-CN"/>
              </w:rPr>
              <w:t>定制</w:t>
            </w:r>
          </w:p>
        </w:tc>
        <w:tc>
          <w:tcPr>
            <w:tcW w:w="293" w:type="pct"/>
            <w:tcBorders>
              <w:top w:val="nil"/>
              <w:left w:val="nil"/>
              <w:bottom w:val="single" w:color="auto" w:sz="4" w:space="0"/>
              <w:right w:val="single" w:color="auto" w:sz="4" w:space="0"/>
            </w:tcBorders>
            <w:noWrap/>
            <w:vAlign w:val="center"/>
          </w:tcPr>
          <w:p>
            <w:pPr>
              <w:widowControl/>
              <w:jc w:val="both"/>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台</w:t>
            </w:r>
          </w:p>
        </w:tc>
        <w:tc>
          <w:tcPr>
            <w:tcW w:w="290" w:type="pct"/>
            <w:tcBorders>
              <w:top w:val="nil"/>
              <w:left w:val="nil"/>
              <w:bottom w:val="single" w:color="auto" w:sz="4" w:space="0"/>
              <w:right w:val="single" w:color="auto" w:sz="4" w:space="0"/>
            </w:tcBorders>
            <w:noWrap w:val="0"/>
            <w:vAlign w:val="center"/>
          </w:tcPr>
          <w:p>
            <w:pPr>
              <w:widowControl/>
              <w:jc w:val="both"/>
              <w:rPr>
                <w:rFonts w:hint="eastAsia" w:ascii="宋体" w:hAnsi="宋体" w:eastAsia="宋体" w:cs="宋体"/>
                <w:color w:val="000000"/>
                <w:kern w:val="0"/>
                <w:sz w:val="20"/>
                <w:szCs w:val="20"/>
                <w:highlight w:val="none"/>
              </w:rPr>
            </w:pPr>
            <w:r>
              <w:rPr>
                <w:rFonts w:hint="eastAsia" w:hAnsi="宋体" w:eastAsia="宋体" w:cs="宋体"/>
                <w:color w:val="000000"/>
                <w:kern w:val="0"/>
                <w:sz w:val="20"/>
                <w:szCs w:val="20"/>
                <w:highlight w:val="none"/>
                <w:lang w:val="en-US" w:eastAsia="zh-CN"/>
              </w:rPr>
              <w:t>1</w:t>
            </w:r>
            <w:r>
              <w:rPr>
                <w:rFonts w:hint="eastAsia" w:ascii="宋体" w:hAnsi="宋体" w:eastAsia="宋体" w:cs="宋体"/>
                <w:color w:val="000000"/>
                <w:kern w:val="0"/>
                <w:sz w:val="20"/>
                <w:szCs w:val="20"/>
                <w:highlight w:val="none"/>
              </w:rPr>
              <w:t xml:space="preserve"> </w:t>
            </w:r>
          </w:p>
        </w:tc>
        <w:tc>
          <w:tcPr>
            <w:tcW w:w="682" w:type="pct"/>
            <w:tcBorders>
              <w:top w:val="nil"/>
              <w:left w:val="nil"/>
              <w:bottom w:val="single" w:color="auto" w:sz="4" w:space="0"/>
              <w:right w:val="single" w:color="auto" w:sz="4" w:space="0"/>
            </w:tcBorders>
            <w:noWrap w:val="0"/>
            <w:vAlign w:val="center"/>
          </w:tcPr>
          <w:p>
            <w:pPr>
              <w:widowControl/>
              <w:jc w:val="both"/>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QDISPLAY</w:t>
            </w:r>
            <w:r>
              <w:rPr>
                <w:rFonts w:hint="eastAsia" w:hAnsi="宋体" w:eastAsia="宋体" w:cs="宋体"/>
                <w:color w:val="000000"/>
                <w:kern w:val="0"/>
                <w:sz w:val="20"/>
                <w:szCs w:val="20"/>
                <w:highlight w:val="none"/>
                <w:lang w:eastAsia="zh-CN"/>
              </w:rPr>
              <w:t>、</w:t>
            </w:r>
            <w:r>
              <w:rPr>
                <w:rFonts w:hint="eastAsia" w:ascii="宋体" w:hAnsi="宋体" w:eastAsia="宋体" w:cs="宋体"/>
                <w:color w:val="000000"/>
                <w:kern w:val="0"/>
                <w:sz w:val="20"/>
                <w:szCs w:val="20"/>
                <w:highlight w:val="none"/>
              </w:rPr>
              <w:t>艾比森</w:t>
            </w:r>
            <w:r>
              <w:rPr>
                <w:rFonts w:hint="eastAsia" w:hAnsi="宋体" w:eastAsia="宋体" w:cs="宋体"/>
                <w:color w:val="000000"/>
                <w:kern w:val="0"/>
                <w:sz w:val="20"/>
                <w:szCs w:val="20"/>
                <w:highlight w:val="none"/>
                <w:lang w:eastAsia="zh-CN"/>
              </w:rPr>
              <w:t>、联建</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7</w:t>
            </w:r>
          </w:p>
        </w:tc>
        <w:tc>
          <w:tcPr>
            <w:tcW w:w="568" w:type="pct"/>
            <w:tcBorders>
              <w:top w:val="nil"/>
              <w:left w:val="nil"/>
              <w:bottom w:val="single" w:color="auto" w:sz="4" w:space="0"/>
              <w:right w:val="single" w:color="auto" w:sz="4" w:space="0"/>
            </w:tcBorders>
            <w:noWrap w:val="0"/>
            <w:vAlign w:val="center"/>
          </w:tcPr>
          <w:p>
            <w:pPr>
              <w:widowControl/>
              <w:jc w:val="both"/>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屏体结构</w:t>
            </w:r>
          </w:p>
        </w:tc>
        <w:tc>
          <w:tcPr>
            <w:tcW w:w="2927" w:type="pct"/>
            <w:tcBorders>
              <w:top w:val="nil"/>
              <w:left w:val="nil"/>
              <w:bottom w:val="single" w:color="auto" w:sz="4" w:space="0"/>
              <w:right w:val="single" w:color="auto" w:sz="4" w:space="0"/>
            </w:tcBorders>
            <w:noWrap w:val="0"/>
            <w:vAlign w:val="center"/>
          </w:tcPr>
          <w:p>
            <w:pPr>
              <w:widowControl/>
              <w:jc w:val="both"/>
              <w:rPr>
                <w:rFonts w:hint="eastAsia" w:ascii="微软雅黑" w:hAnsi="微软雅黑" w:eastAsia="微软雅黑" w:cs="宋体"/>
                <w:color w:val="000000"/>
                <w:kern w:val="0"/>
                <w:sz w:val="18"/>
                <w:szCs w:val="18"/>
                <w:highlight w:val="none"/>
              </w:rPr>
            </w:pPr>
            <w:r>
              <w:rPr>
                <w:rFonts w:hint="eastAsia" w:ascii="宋体" w:hAnsi="宋体" w:eastAsia="宋体" w:cs="楷体"/>
                <w:kern w:val="0"/>
                <w:sz w:val="18"/>
                <w:szCs w:val="18"/>
                <w:highlight w:val="none"/>
                <w:lang w:val="en-US" w:eastAsia="zh-CN" w:bidi="ar-SA"/>
              </w:rPr>
              <w:t>钢结构+不锈钢包边(含包装运输、安装调试）</w:t>
            </w:r>
          </w:p>
        </w:tc>
        <w:tc>
          <w:tcPr>
            <w:tcW w:w="293" w:type="pct"/>
            <w:tcBorders>
              <w:top w:val="nil"/>
              <w:left w:val="nil"/>
              <w:bottom w:val="single" w:color="auto" w:sz="4" w:space="0"/>
              <w:right w:val="single" w:color="auto" w:sz="4" w:space="0"/>
            </w:tcBorders>
            <w:noWrap/>
            <w:vAlign w:val="center"/>
          </w:tcPr>
          <w:p>
            <w:pPr>
              <w:widowControl/>
              <w:jc w:val="both"/>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套</w:t>
            </w:r>
          </w:p>
        </w:tc>
        <w:tc>
          <w:tcPr>
            <w:tcW w:w="290" w:type="pct"/>
            <w:tcBorders>
              <w:top w:val="nil"/>
              <w:left w:val="nil"/>
              <w:bottom w:val="single" w:color="auto" w:sz="4" w:space="0"/>
              <w:right w:val="single" w:color="auto" w:sz="4" w:space="0"/>
            </w:tcBorders>
            <w:noWrap w:val="0"/>
            <w:vAlign w:val="center"/>
          </w:tcPr>
          <w:p>
            <w:pPr>
              <w:widowControl/>
              <w:jc w:val="both"/>
              <w:rPr>
                <w:rFonts w:hint="eastAsia" w:ascii="宋体" w:hAnsi="宋体" w:eastAsia="宋体" w:cs="宋体"/>
                <w:color w:val="000000"/>
                <w:kern w:val="0"/>
                <w:sz w:val="20"/>
                <w:szCs w:val="20"/>
                <w:highlight w:val="none"/>
              </w:rPr>
            </w:pPr>
            <w:r>
              <w:rPr>
                <w:rFonts w:hint="eastAsia" w:hAnsi="宋体" w:eastAsia="宋体" w:cs="宋体"/>
                <w:color w:val="000000"/>
                <w:kern w:val="0"/>
                <w:sz w:val="20"/>
                <w:szCs w:val="20"/>
                <w:highlight w:val="none"/>
                <w:lang w:val="en-US" w:eastAsia="zh-CN"/>
              </w:rPr>
              <w:t>1</w:t>
            </w:r>
          </w:p>
        </w:tc>
        <w:tc>
          <w:tcPr>
            <w:tcW w:w="682" w:type="pct"/>
            <w:tcBorders>
              <w:top w:val="nil"/>
              <w:left w:val="nil"/>
              <w:bottom w:val="single" w:color="auto" w:sz="4" w:space="0"/>
              <w:right w:val="single" w:color="auto" w:sz="4" w:space="0"/>
            </w:tcBorders>
            <w:noWrap w:val="0"/>
            <w:vAlign w:val="center"/>
          </w:tcPr>
          <w:p>
            <w:pPr>
              <w:widowControl/>
              <w:jc w:val="both"/>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QDISPLAY</w:t>
            </w:r>
            <w:r>
              <w:rPr>
                <w:rFonts w:hint="eastAsia" w:hAnsi="宋体" w:eastAsia="宋体" w:cs="宋体"/>
                <w:color w:val="000000"/>
                <w:kern w:val="0"/>
                <w:sz w:val="20"/>
                <w:szCs w:val="20"/>
                <w:highlight w:val="none"/>
                <w:lang w:eastAsia="zh-CN"/>
              </w:rPr>
              <w:t>、</w:t>
            </w:r>
            <w:r>
              <w:rPr>
                <w:rFonts w:hint="eastAsia" w:ascii="宋体" w:hAnsi="宋体" w:eastAsia="宋体" w:cs="宋体"/>
                <w:color w:val="000000"/>
                <w:kern w:val="0"/>
                <w:sz w:val="20"/>
                <w:szCs w:val="20"/>
                <w:highlight w:val="none"/>
              </w:rPr>
              <w:t>艾比森</w:t>
            </w:r>
            <w:r>
              <w:rPr>
                <w:rFonts w:hint="eastAsia" w:hAnsi="宋体" w:eastAsia="宋体" w:cs="宋体"/>
                <w:color w:val="000000"/>
                <w:kern w:val="0"/>
                <w:sz w:val="20"/>
                <w:szCs w:val="20"/>
                <w:highlight w:val="none"/>
                <w:lang w:eastAsia="zh-CN"/>
              </w:rPr>
              <w:t>、联建</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bCs/>
                <w:color w:val="000000"/>
                <w:kern w:val="0"/>
                <w:sz w:val="20"/>
                <w:szCs w:val="20"/>
                <w:highlight w:val="none"/>
              </w:rPr>
            </w:pPr>
            <w:r>
              <w:rPr>
                <w:rFonts w:hint="eastAsia" w:ascii="宋体" w:hAnsi="宋体" w:eastAsia="宋体" w:cs="宋体"/>
                <w:b/>
                <w:bCs/>
                <w:color w:val="000000"/>
                <w:kern w:val="0"/>
                <w:sz w:val="20"/>
                <w:szCs w:val="20"/>
                <w:highlight w:val="none"/>
              </w:rPr>
              <w:t>D</w:t>
            </w:r>
          </w:p>
        </w:tc>
        <w:tc>
          <w:tcPr>
            <w:tcW w:w="568"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kern w:val="0"/>
                <w:sz w:val="20"/>
                <w:szCs w:val="20"/>
                <w:highlight w:val="none"/>
              </w:rPr>
            </w:pPr>
            <w:r>
              <w:rPr>
                <w:rFonts w:hint="eastAsia" w:ascii="宋体" w:hAnsi="宋体" w:eastAsia="宋体" w:cs="宋体"/>
                <w:b/>
                <w:bCs/>
                <w:color w:val="000000"/>
                <w:kern w:val="0"/>
                <w:sz w:val="20"/>
                <w:szCs w:val="20"/>
                <w:highlight w:val="none"/>
              </w:rPr>
              <w:t>远程视频会议系统</w:t>
            </w:r>
          </w:p>
        </w:tc>
        <w:tc>
          <w:tcPr>
            <w:tcW w:w="2927"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w:t>
            </w:r>
          </w:p>
        </w:tc>
        <w:tc>
          <w:tcPr>
            <w:tcW w:w="290"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w:t>
            </w:r>
          </w:p>
        </w:tc>
        <w:tc>
          <w:tcPr>
            <w:tcW w:w="682"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w:t>
            </w:r>
          </w:p>
        </w:tc>
        <w:tc>
          <w:tcPr>
            <w:tcW w:w="568"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多点控制单元MCU</w:t>
            </w:r>
          </w:p>
        </w:tc>
        <w:tc>
          <w:tcPr>
            <w:tcW w:w="2927" w:type="pct"/>
            <w:tcBorders>
              <w:top w:val="nil"/>
              <w:left w:val="nil"/>
              <w:bottom w:val="single" w:color="auto" w:sz="4" w:space="0"/>
              <w:right w:val="single" w:color="auto" w:sz="4" w:space="0"/>
            </w:tcBorders>
            <w:noWrap w:val="0"/>
            <w:vAlign w:val="top"/>
          </w:tcPr>
          <w:p>
            <w:pPr>
              <w:widowControl/>
              <w:jc w:val="left"/>
              <w:rPr>
                <w:rFonts w:hint="eastAsia" w:ascii="微软雅黑" w:hAnsi="微软雅黑" w:eastAsia="微软雅黑" w:cs="宋体"/>
                <w:color w:val="000000"/>
                <w:kern w:val="0"/>
                <w:sz w:val="18"/>
                <w:szCs w:val="18"/>
                <w:highlight w:val="none"/>
              </w:rPr>
            </w:pPr>
            <w:r>
              <w:rPr>
                <w:rFonts w:hint="eastAsia" w:ascii="宋体" w:hAnsi="宋体" w:eastAsia="宋体" w:cs="楷体"/>
                <w:kern w:val="0"/>
                <w:sz w:val="18"/>
                <w:szCs w:val="18"/>
                <w:highlight w:val="none"/>
                <w:lang w:val="en-US" w:eastAsia="zh-CN" w:bidi="ar-SA"/>
              </w:rPr>
              <w:t>1、嵌入式Linux系统，19英寸标准机箱</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楷体"/>
                <w:kern w:val="0"/>
                <w:sz w:val="18"/>
                <w:szCs w:val="18"/>
                <w:highlight w:val="none"/>
                <w:lang w:val="en-US" w:eastAsia="zh-CN" w:bidi="ar-SA"/>
              </w:rPr>
              <w:t>2、标配16个音视频交互终端或录播连接，支持1组多画面会议同时召开。</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楷体"/>
                <w:kern w:val="0"/>
                <w:sz w:val="18"/>
                <w:szCs w:val="18"/>
                <w:highlight w:val="none"/>
                <w:lang w:val="en-US" w:eastAsia="zh-CN" w:bidi="ar-SA"/>
              </w:rPr>
              <w:t>3、系统必须支持双路视频，支持终端的双路视频传输技术，支持标准H.323及H.239协议。</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楷体"/>
                <w:kern w:val="0"/>
                <w:sz w:val="18"/>
                <w:szCs w:val="18"/>
                <w:highlight w:val="none"/>
                <w:lang w:val="en-US" w:eastAsia="zh-CN" w:bidi="ar-SA"/>
              </w:rPr>
              <w:t>4、MCU支持多组多画面功能，同时支持多组会议</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楷体"/>
                <w:kern w:val="0"/>
                <w:sz w:val="18"/>
                <w:szCs w:val="18"/>
                <w:highlight w:val="none"/>
                <w:lang w:val="en-US" w:eastAsia="zh-CN" w:bidi="ar-SA"/>
              </w:rPr>
              <w:t>5、支持1080p/30/60帧。视频协议同时支持H.263,H.264.音频协议同时支持视频会议最常用的三个音频格式：G.722,G.722.1.C，AAC-LD。</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楷体"/>
                <w:kern w:val="0"/>
                <w:sz w:val="18"/>
                <w:szCs w:val="18"/>
                <w:highlight w:val="none"/>
                <w:lang w:val="en-US" w:eastAsia="zh-CN" w:bidi="ar-SA"/>
              </w:rPr>
              <w:t>6、支持国际电联ITUT标准H.323协议，可与其他标准视频会议厂商设备无缝互联互通；支持和POLYCOM，思科、华为等视频会议终端的音视频和双流的互通。</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宋体"/>
                <w:b/>
                <w:bCs/>
                <w:kern w:val="0"/>
                <w:sz w:val="18"/>
                <w:szCs w:val="18"/>
                <w:highlight w:val="none"/>
                <w:lang w:val="en-US" w:eastAsia="zh-CN"/>
              </w:rPr>
              <w:t>（以上参数项除特殊备注的项要求资料外，其余参数需提供佐证材料复印件加盖厂家公章逐项证明符合性，佐证材料不限于品牌官方网站介绍、品牌官方印刷的产品彩页、设备检测报告材料</w:t>
            </w:r>
            <w:r>
              <w:rPr>
                <w:rFonts w:hint="eastAsia" w:hAnsi="宋体" w:eastAsia="宋体" w:cs="楷体"/>
                <w:b/>
                <w:bCs/>
                <w:kern w:val="0"/>
                <w:sz w:val="18"/>
                <w:szCs w:val="18"/>
                <w:highlight w:val="none"/>
                <w:lang w:eastAsia="zh-CN"/>
              </w:rPr>
              <w:t>、产品厂家技术白皮书</w:t>
            </w:r>
            <w:r>
              <w:rPr>
                <w:rFonts w:hint="eastAsia" w:ascii="宋体" w:hAnsi="宋体" w:eastAsia="宋体" w:cs="宋体"/>
                <w:b/>
                <w:bCs/>
                <w:kern w:val="0"/>
                <w:sz w:val="18"/>
                <w:szCs w:val="18"/>
                <w:highlight w:val="none"/>
                <w:lang w:val="en-US" w:eastAsia="zh-CN"/>
              </w:rPr>
              <w:t>等，未提供视为负偏离项）</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台</w:t>
            </w:r>
          </w:p>
        </w:tc>
        <w:tc>
          <w:tcPr>
            <w:tcW w:w="290"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w:t>
            </w:r>
          </w:p>
        </w:tc>
        <w:tc>
          <w:tcPr>
            <w:tcW w:w="682"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创视通</w:t>
            </w:r>
            <w:r>
              <w:rPr>
                <w:rFonts w:hint="eastAsia" w:hAnsi="宋体" w:eastAsia="宋体" w:cs="宋体"/>
                <w:color w:val="000000"/>
                <w:kern w:val="0"/>
                <w:sz w:val="20"/>
                <w:szCs w:val="20"/>
                <w:highlight w:val="none"/>
                <w:lang w:eastAsia="zh-CN"/>
              </w:rPr>
              <w:t>、双心源、沃云</w:t>
            </w:r>
            <w:r>
              <w:rPr>
                <w:rFonts w:hint="eastAsia" w:ascii="宋体" w:hAnsi="宋体" w:eastAsia="宋体" w:cs="宋体"/>
                <w:color w:val="000000"/>
                <w:kern w:val="0"/>
                <w:sz w:val="20"/>
                <w:szCs w:val="20"/>
                <w:highlight w:val="none"/>
              </w:rPr>
              <w:t>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2</w:t>
            </w:r>
          </w:p>
        </w:tc>
        <w:tc>
          <w:tcPr>
            <w:tcW w:w="568"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音视频交互终端</w:t>
            </w:r>
          </w:p>
        </w:tc>
        <w:tc>
          <w:tcPr>
            <w:tcW w:w="2927" w:type="pct"/>
            <w:tcBorders>
              <w:top w:val="nil"/>
              <w:left w:val="nil"/>
              <w:bottom w:val="single" w:color="auto" w:sz="4" w:space="0"/>
              <w:right w:val="single" w:color="auto" w:sz="4" w:space="0"/>
            </w:tcBorders>
            <w:noWrap w:val="0"/>
            <w:vAlign w:val="top"/>
          </w:tcPr>
          <w:p>
            <w:pPr>
              <w:widowControl/>
              <w:jc w:val="left"/>
              <w:rPr>
                <w:rFonts w:hint="eastAsia" w:ascii="微软雅黑" w:hAnsi="微软雅黑" w:eastAsia="微软雅黑" w:cs="宋体"/>
                <w:color w:val="000000"/>
                <w:kern w:val="0"/>
                <w:sz w:val="18"/>
                <w:szCs w:val="18"/>
                <w:highlight w:val="none"/>
              </w:rPr>
            </w:pPr>
            <w:r>
              <w:rPr>
                <w:rFonts w:hint="eastAsia" w:ascii="宋体" w:hAnsi="宋体" w:eastAsia="宋体" w:cs="楷体"/>
                <w:kern w:val="0"/>
                <w:sz w:val="18"/>
                <w:szCs w:val="18"/>
                <w:highlight w:val="none"/>
                <w:lang w:val="en-US" w:eastAsia="zh-CN" w:bidi="ar-SA"/>
              </w:rPr>
              <w:t>1、内置高性能数字信号处理芯片，视频最高支持到主流和辅流双路1080P30同时编解码（可选），提供单显、双显及丰富的视频窗口布局，提升了用户体验。</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楷体"/>
                <w:kern w:val="0"/>
                <w:sz w:val="18"/>
                <w:szCs w:val="18"/>
                <w:highlight w:val="none"/>
                <w:lang w:val="en-US" w:eastAsia="zh-CN" w:bidi="ar-SA"/>
              </w:rPr>
              <w:t>2、语音支持AAC-LD宽频编解码，运用优化算法实现回声抵消、噪音抑制及自动增益控制，从而保证高保真、低延时的音频传输。</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楷体"/>
                <w:kern w:val="0"/>
                <w:sz w:val="18"/>
                <w:szCs w:val="18"/>
                <w:highlight w:val="none"/>
                <w:lang w:val="en-US" w:eastAsia="zh-CN" w:bidi="ar-SA"/>
              </w:rPr>
              <w:t>3、QoS设置及独特的媒体纠错（Media Error Correction）技术，在高误码率的情况下，依然能保证流畅的音视频效果。</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楷体"/>
                <w:kern w:val="0"/>
                <w:sz w:val="18"/>
                <w:szCs w:val="18"/>
                <w:highlight w:val="none"/>
                <w:lang w:val="en-US" w:eastAsia="zh-CN" w:bidi="ar-SA"/>
              </w:rPr>
              <w:t>4.支持H.323/SIP双协议栈，可以与业界主流标准终端及MCU实现良好的互通，方便客户的扩容及升级改造。</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楷体"/>
                <w:kern w:val="0"/>
                <w:sz w:val="18"/>
                <w:szCs w:val="18"/>
                <w:highlight w:val="none"/>
                <w:lang w:val="en-US" w:eastAsia="zh-CN" w:bidi="ar-SA"/>
              </w:rPr>
              <w:t>5.丰富的接口配置，充分考虑各种使用场景，兼容市场主流音视频输入、输出设备接口，可以实现快速部署，减少后续修改布线的可能。</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楷体"/>
                <w:kern w:val="0"/>
                <w:sz w:val="18"/>
                <w:szCs w:val="18"/>
                <w:highlight w:val="none"/>
                <w:lang w:val="en-US" w:eastAsia="zh-CN" w:bidi="ar-SA"/>
              </w:rPr>
              <w:t>6.扁平化界面（UI）风格设计，使用者易于上手操作。</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楷体"/>
                <w:kern w:val="0"/>
                <w:sz w:val="18"/>
                <w:szCs w:val="18"/>
                <w:highlight w:val="none"/>
                <w:lang w:val="en-US" w:eastAsia="zh-CN" w:bidi="ar-SA"/>
              </w:rPr>
              <w:t>7.遥控器集成部分功能按钮，常用功能一键可达，方便实用。</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楷体"/>
                <w:kern w:val="0"/>
                <w:sz w:val="18"/>
                <w:szCs w:val="18"/>
                <w:highlight w:val="none"/>
                <w:lang w:val="en-US" w:eastAsia="zh-CN" w:bidi="ar-SA"/>
              </w:rPr>
              <w:t>8.U盘、网页等多种升级方式，易于后期维护与系统升级。</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楷体"/>
                <w:kern w:val="0"/>
                <w:sz w:val="18"/>
                <w:szCs w:val="18"/>
                <w:highlight w:val="none"/>
                <w:lang w:val="en-US" w:eastAsia="zh-CN" w:bidi="ar-SA"/>
              </w:rPr>
              <w:t>9.高品质360度桌面麦克风（可选），采用专业数字信号处理技术。</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楷体"/>
                <w:kern w:val="0"/>
                <w:sz w:val="18"/>
                <w:szCs w:val="18"/>
                <w:highlight w:val="none"/>
                <w:lang w:val="en-US" w:eastAsia="zh-CN" w:bidi="ar-SA"/>
              </w:rPr>
              <w:t>10.系统采用AES媒体加密技术。</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楷体"/>
                <w:kern w:val="0"/>
                <w:sz w:val="18"/>
                <w:szCs w:val="18"/>
                <w:highlight w:val="none"/>
                <w:lang w:val="en-US" w:eastAsia="zh-CN" w:bidi="ar-SA"/>
              </w:rPr>
              <w:t>11.密码保护，HTTPS安全链接等加密措施保障系统安全运行。</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楷体"/>
                <w:kern w:val="0"/>
                <w:sz w:val="18"/>
                <w:szCs w:val="18"/>
                <w:highlight w:val="none"/>
                <w:lang w:val="en-US" w:eastAsia="zh-CN" w:bidi="ar-SA"/>
              </w:rPr>
              <w:t>12.支持H.460，NAT和可配置端口范围，可实现防火墙穿越。</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楷体"/>
                <w:kern w:val="0"/>
                <w:sz w:val="18"/>
                <w:szCs w:val="18"/>
                <w:highlight w:val="none"/>
                <w:lang w:val="en-US" w:eastAsia="zh-CN" w:bidi="ar-SA"/>
              </w:rPr>
              <w:t>13、功能描述 支持外接摄像头整机作为视频输入，支持双路1080p30视频（可选）及高保真音频通讯，支持H.323/SIP双协议栈,HDMI/DVI-I接口输入，双HDMI接口输出</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宋体"/>
                <w:b/>
                <w:bCs/>
                <w:kern w:val="0"/>
                <w:sz w:val="18"/>
                <w:szCs w:val="18"/>
                <w:highlight w:val="none"/>
                <w:lang w:val="en-US" w:eastAsia="zh-CN"/>
              </w:rPr>
              <w:t>（以上参数项除特殊备注的项要求资料外，其余参数需提供佐证材料复印件加盖厂家公章逐项证明符合性，佐证材料不限于品牌官方网站介绍、品牌官方印刷的产品彩页、设备检测报告材料</w:t>
            </w:r>
            <w:r>
              <w:rPr>
                <w:rFonts w:hint="eastAsia" w:hAnsi="宋体" w:eastAsia="宋体" w:cs="楷体"/>
                <w:b/>
                <w:bCs/>
                <w:kern w:val="0"/>
                <w:sz w:val="18"/>
                <w:szCs w:val="18"/>
                <w:highlight w:val="none"/>
                <w:lang w:eastAsia="zh-CN"/>
              </w:rPr>
              <w:t>、产品厂家技术白皮书</w:t>
            </w:r>
            <w:r>
              <w:rPr>
                <w:rFonts w:hint="eastAsia" w:ascii="宋体" w:hAnsi="宋体" w:eastAsia="宋体" w:cs="宋体"/>
                <w:b/>
                <w:bCs/>
                <w:kern w:val="0"/>
                <w:sz w:val="18"/>
                <w:szCs w:val="18"/>
                <w:highlight w:val="none"/>
                <w:lang w:val="en-US" w:eastAsia="zh-CN"/>
              </w:rPr>
              <w:t>等，未提供视为负偏离项）</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台</w:t>
            </w:r>
          </w:p>
        </w:tc>
        <w:tc>
          <w:tcPr>
            <w:tcW w:w="290"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w:t>
            </w:r>
          </w:p>
        </w:tc>
        <w:tc>
          <w:tcPr>
            <w:tcW w:w="682"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创视通</w:t>
            </w:r>
            <w:r>
              <w:rPr>
                <w:rFonts w:hint="eastAsia" w:hAnsi="宋体" w:eastAsia="宋体" w:cs="宋体"/>
                <w:color w:val="000000"/>
                <w:kern w:val="0"/>
                <w:sz w:val="20"/>
                <w:szCs w:val="20"/>
                <w:highlight w:val="none"/>
                <w:lang w:eastAsia="zh-CN"/>
              </w:rPr>
              <w:t>、双心源、沃云</w:t>
            </w:r>
            <w:r>
              <w:rPr>
                <w:rFonts w:hint="eastAsia" w:ascii="宋体" w:hAnsi="宋体" w:eastAsia="宋体" w:cs="宋体"/>
                <w:color w:val="000000"/>
                <w:kern w:val="0"/>
                <w:sz w:val="20"/>
                <w:szCs w:val="20"/>
                <w:highlight w:val="none"/>
              </w:rPr>
              <w:t>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3</w:t>
            </w:r>
          </w:p>
        </w:tc>
        <w:tc>
          <w:tcPr>
            <w:tcW w:w="568"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高清会议摄像机（指挥中心）</w:t>
            </w:r>
          </w:p>
        </w:tc>
        <w:tc>
          <w:tcPr>
            <w:tcW w:w="2927" w:type="pct"/>
            <w:tcBorders>
              <w:top w:val="nil"/>
              <w:left w:val="nil"/>
              <w:bottom w:val="single" w:color="auto" w:sz="4" w:space="0"/>
              <w:right w:val="single" w:color="auto" w:sz="4" w:space="0"/>
            </w:tcBorders>
            <w:noWrap w:val="0"/>
            <w:vAlign w:val="top"/>
          </w:tcPr>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1、专业影像传感器：1/2.8”CMOS</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楷体"/>
                <w:kern w:val="0"/>
                <w:sz w:val="18"/>
                <w:szCs w:val="18"/>
                <w:highlight w:val="none"/>
                <w:lang w:val="en-US" w:eastAsia="zh-CN" w:bidi="ar-SA"/>
              </w:rPr>
              <w:t>2、支持1080p 60fps，200万像素CMOS</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楷体"/>
                <w:kern w:val="0"/>
                <w:sz w:val="18"/>
                <w:szCs w:val="18"/>
                <w:highlight w:val="none"/>
                <w:lang w:val="en-US" w:eastAsia="zh-CN" w:bidi="ar-SA"/>
              </w:rPr>
              <w:t>3、支持宽动态功能（WDR）克服高反差呈现鲜明影像</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楷体"/>
                <w:kern w:val="0"/>
                <w:sz w:val="18"/>
                <w:szCs w:val="18"/>
                <w:highlight w:val="none"/>
                <w:lang w:val="en-US" w:eastAsia="zh-CN" w:bidi="ar-SA"/>
              </w:rPr>
              <w:t>4、支持预设位调用画面冻结</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楷体"/>
                <w:kern w:val="0"/>
                <w:sz w:val="18"/>
                <w:szCs w:val="18"/>
                <w:highlight w:val="none"/>
                <w:lang w:val="en-US" w:eastAsia="zh-CN" w:bidi="ar-SA"/>
              </w:rPr>
              <w:t>5、240倍可变焦段 (20倍光学 + 12倍数位)</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楷体"/>
                <w:kern w:val="0"/>
                <w:sz w:val="18"/>
                <w:szCs w:val="18"/>
                <w:highlight w:val="none"/>
                <w:lang w:val="en-US" w:eastAsia="zh-CN" w:bidi="ar-SA"/>
              </w:rPr>
              <w:t>6、HDMI、SG-SDI两路同时输出</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楷体"/>
                <w:kern w:val="0"/>
                <w:sz w:val="18"/>
                <w:szCs w:val="18"/>
                <w:highlight w:val="none"/>
                <w:lang w:val="en-US" w:eastAsia="zh-CN" w:bidi="ar-SA"/>
              </w:rPr>
              <w:t>7、水平大视角63°</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楷体"/>
                <w:kern w:val="0"/>
                <w:sz w:val="18"/>
                <w:szCs w:val="18"/>
                <w:highlight w:val="none"/>
                <w:lang w:val="en-US" w:eastAsia="zh-CN" w:bidi="ar-SA"/>
              </w:rPr>
              <w:t>8、最大水平旋转速度: 300°/s，最大俯仰旋转速度: 300°/s</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楷体"/>
                <w:kern w:val="0"/>
                <w:sz w:val="18"/>
                <w:szCs w:val="18"/>
                <w:highlight w:val="none"/>
                <w:lang w:val="en-US" w:eastAsia="zh-CN" w:bidi="ar-SA"/>
              </w:rPr>
              <w:t>9、宽视角设计，水平可视角度±170°；</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楷体"/>
                <w:kern w:val="0"/>
                <w:sz w:val="18"/>
                <w:szCs w:val="18"/>
                <w:highlight w:val="none"/>
                <w:lang w:val="en-US" w:eastAsia="zh-CN" w:bidi="ar-SA"/>
              </w:rPr>
              <w:t>10、俯仰可视角度向下-30°，向上+90°</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楷体"/>
                <w:kern w:val="0"/>
                <w:sz w:val="18"/>
                <w:szCs w:val="18"/>
                <w:highlight w:val="none"/>
                <w:lang w:val="en-US" w:eastAsia="zh-CN" w:bidi="ar-SA"/>
              </w:rPr>
              <w:t>11、影像翻转功能，摄像机可装载会议室任意位置，有效节约室内空间</w:t>
            </w:r>
          </w:p>
          <w:p>
            <w:pPr>
              <w:pStyle w:val="4"/>
              <w:ind w:left="0" w:leftChars="0" w:firstLine="0" w:firstLineChars="0"/>
              <w:rPr>
                <w:rFonts w:hint="eastAsia"/>
                <w:highlight w:val="none"/>
              </w:rPr>
            </w:pPr>
            <w:r>
              <w:rPr>
                <w:rFonts w:hint="eastAsia" w:ascii="宋体" w:hAnsi="宋体" w:eastAsia="宋体" w:cs="宋体"/>
                <w:b/>
                <w:bCs/>
                <w:kern w:val="0"/>
                <w:sz w:val="18"/>
                <w:szCs w:val="18"/>
                <w:highlight w:val="none"/>
                <w:lang w:val="en-US" w:eastAsia="zh-CN"/>
              </w:rPr>
              <w:t>（以上参数项除特殊备注的项要求资料外，其余参数需提供佐证材料复印件加盖厂家公章逐项证明符合性，佐证材料不限于品牌官方网站介绍、品牌官方印刷的产品彩页、设备检测报告材料</w:t>
            </w:r>
            <w:r>
              <w:rPr>
                <w:rFonts w:hint="eastAsia" w:hAnsi="宋体" w:eastAsia="宋体" w:cs="楷体"/>
                <w:b/>
                <w:bCs/>
                <w:kern w:val="0"/>
                <w:sz w:val="18"/>
                <w:szCs w:val="18"/>
                <w:highlight w:val="none"/>
                <w:lang w:eastAsia="zh-CN"/>
              </w:rPr>
              <w:t>、产品厂家技术白皮书</w:t>
            </w:r>
            <w:r>
              <w:rPr>
                <w:rFonts w:hint="eastAsia" w:ascii="宋体" w:hAnsi="宋体" w:eastAsia="宋体" w:cs="宋体"/>
                <w:b/>
                <w:bCs/>
                <w:kern w:val="0"/>
                <w:sz w:val="18"/>
                <w:szCs w:val="18"/>
                <w:highlight w:val="none"/>
                <w:lang w:val="en-US" w:eastAsia="zh-CN"/>
              </w:rPr>
              <w:t>等，未提供视为负偏离项）</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台</w:t>
            </w:r>
          </w:p>
        </w:tc>
        <w:tc>
          <w:tcPr>
            <w:tcW w:w="290"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3</w:t>
            </w:r>
          </w:p>
        </w:tc>
        <w:tc>
          <w:tcPr>
            <w:tcW w:w="682"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创视通</w:t>
            </w:r>
            <w:r>
              <w:rPr>
                <w:rFonts w:hint="eastAsia" w:hAnsi="宋体" w:eastAsia="宋体" w:cs="宋体"/>
                <w:color w:val="000000"/>
                <w:kern w:val="0"/>
                <w:sz w:val="20"/>
                <w:szCs w:val="20"/>
                <w:highlight w:val="none"/>
                <w:lang w:eastAsia="zh-CN"/>
              </w:rPr>
              <w:t>、双心源、沃云</w:t>
            </w:r>
            <w:r>
              <w:rPr>
                <w:rFonts w:hint="eastAsia" w:ascii="宋体" w:hAnsi="宋体" w:eastAsia="宋体" w:cs="宋体"/>
                <w:color w:val="000000"/>
                <w:kern w:val="0"/>
                <w:sz w:val="20"/>
                <w:szCs w:val="20"/>
                <w:highlight w:val="none"/>
              </w:rPr>
              <w:t>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bCs/>
                <w:color w:val="000000"/>
                <w:kern w:val="0"/>
                <w:sz w:val="20"/>
                <w:szCs w:val="20"/>
                <w:highlight w:val="none"/>
              </w:rPr>
            </w:pPr>
            <w:r>
              <w:rPr>
                <w:rFonts w:hint="eastAsia" w:ascii="宋体" w:hAnsi="宋体" w:eastAsia="宋体" w:cs="宋体"/>
                <w:b/>
                <w:bCs/>
                <w:color w:val="000000"/>
                <w:kern w:val="0"/>
                <w:sz w:val="20"/>
                <w:szCs w:val="20"/>
                <w:highlight w:val="none"/>
              </w:rPr>
              <w:t>E</w:t>
            </w:r>
          </w:p>
        </w:tc>
        <w:tc>
          <w:tcPr>
            <w:tcW w:w="568"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kern w:val="0"/>
                <w:sz w:val="20"/>
                <w:szCs w:val="20"/>
                <w:highlight w:val="none"/>
              </w:rPr>
            </w:pPr>
            <w:r>
              <w:rPr>
                <w:rFonts w:hint="eastAsia" w:ascii="宋体" w:hAnsi="宋体" w:eastAsia="宋体" w:cs="宋体"/>
                <w:b/>
                <w:bCs/>
                <w:color w:val="000000"/>
                <w:kern w:val="0"/>
                <w:sz w:val="20"/>
                <w:szCs w:val="20"/>
                <w:highlight w:val="none"/>
              </w:rPr>
              <w:t>KVM分布式坐席综合管理系统</w:t>
            </w:r>
          </w:p>
        </w:tc>
        <w:tc>
          <w:tcPr>
            <w:tcW w:w="2927"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w:t>
            </w:r>
          </w:p>
        </w:tc>
        <w:tc>
          <w:tcPr>
            <w:tcW w:w="293"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w:t>
            </w:r>
          </w:p>
        </w:tc>
        <w:tc>
          <w:tcPr>
            <w:tcW w:w="290"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w:t>
            </w:r>
          </w:p>
        </w:tc>
        <w:tc>
          <w:tcPr>
            <w:tcW w:w="682"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w:t>
            </w:r>
          </w:p>
        </w:tc>
        <w:tc>
          <w:tcPr>
            <w:tcW w:w="568"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分布式坐席输入节点</w:t>
            </w:r>
          </w:p>
        </w:tc>
        <w:tc>
          <w:tcPr>
            <w:tcW w:w="2927" w:type="pct"/>
            <w:tcBorders>
              <w:top w:val="nil"/>
              <w:left w:val="nil"/>
              <w:bottom w:val="single" w:color="auto" w:sz="4" w:space="0"/>
              <w:right w:val="single" w:color="auto" w:sz="4" w:space="0"/>
            </w:tcBorders>
            <w:noWrap w:val="0"/>
            <w:vAlign w:val="center"/>
          </w:tcPr>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1、支持3840*2160 60Hz分辨率，支持 IPC 或者 H.265/264 码流直接接入，无需任 何额外设备；支持云台控制；支持 IPC 码流转发 100 路以上，以增强 IPC 多路并发数量；支持 RTSP、RTMP、TS、组播流等协议流媒体接入， 可直接解码网络摄像机信号；支持 https 通信，支 持 jason 数据解析，支持 xml 数据解析。（需提供工业与信息化部检测报告并加盖原厂公章）</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2、支持HDMI、DP、DVI、VGA、SDI等视频接口；</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3、具备一路光纤接口机一路网络接口，支持组成通讯双备份结构；</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4、节点日志功能：节点具备记录最少 10 万条底层操 作动作和错误情况等能力。（需提供工业与信息化部检测报告并加盖原厂公章）</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5、具备与安全通讯模块通讯的接口，杜绝 KVM 系统 的 USB 口与业务系统主机的 USB 口直接相连， 而是通过独立 KVM 适配器，以物理隔离方式连接 电脑主机 USB 口。该独立 KVM 适配器仅能被识 别为 HID 键鼠设备，为经国家网络与信息安全检 测中心检测认定的，符合《KVM 适配器信息安全 测试方案》相关要求的，不具有从目标电脑传输数 据、不会发起 HID 攻击、不会存储目标电脑数据 的安全通讯模块通讯。确保不可连接互联网主机不 会通过本系统连接互联网或者通过本系统将数据 泄露到互联网。（需提供工业与信息化部检测报告并加盖原厂公章）</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6、支持人脸识别登录席位且恢复上次工作状态；支持 人员离席 10 秒内自动锁定席位而无需人工操作； 支持席位实时识别人员在线状态。（需提供工业与信息化部检测报告并加盖原厂公章）</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7、具备键盘鼠标安全认证接口和模块，确保涉密主机 和互联网主机接入坐席安全可靠。</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8、支持虚拟 IP 功能：支持多路信号输入的节点，只 占用 1 路网络接口的情况下，虚拟为每路输入信号 产生 1 路不同 IP 地址和 MAC 地址；便于系统接 入且节省布线和网络资源；（需提供工业与信息化部检测报告并加盖原厂公章）</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9、节点数量不受限制；具备跨 网段、跨 Vlan 通讯能力而无需交换机或者路由器 做任何其他配置（需提供工业与信息化部检测报告并加盖原厂公章）</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 xml:space="preserve">10、为了保证信号传输的即时性，端对端延时需不高于20ms。         </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11、同时支持采用主流领先的压缩编码与解码技术，支 持 ITU-T H. 264 High Profile/Main Prof ile/BaselineProfile@Level5.1 编 码 ， 支持 ITU-TH.265MainlO/MainProfile@Level5.1 MainTier 编码,支持 B 帧；（需提供工业与信息化部检测报告并加盖原厂公章）</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12、采用完全分布式架构，无需服务器即可构建无服务器的去中心化分布式音视频网络，；节点间采用单播协议，无需交换机和接入网 络具备组播功能的情况下支持超过 200 路以上并 发，满足跨网段跨区域互联互通；同时，可兼容组 播，组播并发数量不受限制（需提供工业与信息化部检测报告）</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13、为保证信息安全，接入主机的USB链路，不得具备数据拷贝能力，不得通讯能力（需提供国家认监委批注成立的权威机构的安全认证）                                                                                                    14、支持多达16个输入音频混合输出，可支持16方MIC混合输出实现多方通话；（需提供工业和信息化部电子研究所提供的检测报告）</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b/>
                <w:bCs/>
                <w:kern w:val="0"/>
                <w:sz w:val="18"/>
                <w:szCs w:val="18"/>
                <w:highlight w:val="none"/>
                <w:lang w:val="en-US" w:eastAsia="zh-CN" w:bidi="ar-SA"/>
              </w:rPr>
              <w:t>（以上参数项除特殊备注的项要求资料外，其余参数需提供佐证材料复印件加盖厂家公章逐项证明符合性，佐证材料不限于品牌官方网站介绍、品牌官方印刷的产品彩页、设备检测报告材料、产品厂家技术白皮书等，未提供视为负偏离项）</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台</w:t>
            </w:r>
          </w:p>
        </w:tc>
        <w:tc>
          <w:tcPr>
            <w:tcW w:w="290"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4</w:t>
            </w:r>
          </w:p>
        </w:tc>
        <w:tc>
          <w:tcPr>
            <w:tcW w:w="682"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xml:space="preserve">视音微云 </w:t>
            </w:r>
            <w:r>
              <w:rPr>
                <w:rFonts w:hint="eastAsia" w:hAnsi="宋体" w:eastAsia="宋体" w:cs="宋体"/>
                <w:color w:val="000000"/>
                <w:kern w:val="0"/>
                <w:sz w:val="20"/>
                <w:szCs w:val="20"/>
                <w:highlight w:val="none"/>
                <w:lang w:eastAsia="zh-CN"/>
              </w:rPr>
              <w:t>、</w:t>
            </w:r>
            <w:r>
              <w:rPr>
                <w:rFonts w:hint="eastAsia" w:ascii="宋体" w:hAnsi="宋体" w:eastAsia="宋体" w:cs="宋体"/>
                <w:color w:val="000000"/>
                <w:kern w:val="0"/>
                <w:sz w:val="20"/>
                <w:szCs w:val="20"/>
                <w:highlight w:val="none"/>
              </w:rPr>
              <w:t>佳比</w:t>
            </w:r>
            <w:r>
              <w:rPr>
                <w:rFonts w:hint="eastAsia" w:hAnsi="宋体" w:eastAsia="宋体" w:cs="宋体"/>
                <w:color w:val="000000"/>
                <w:kern w:val="0"/>
                <w:sz w:val="20"/>
                <w:szCs w:val="20"/>
                <w:highlight w:val="none"/>
                <w:lang w:eastAsia="zh-CN"/>
              </w:rPr>
              <w:t>、</w:t>
            </w:r>
            <w:r>
              <w:rPr>
                <w:rFonts w:hint="eastAsia" w:ascii="宋体" w:hAnsi="宋体" w:eastAsia="宋体" w:cs="宋体"/>
                <w:color w:val="000000"/>
                <w:kern w:val="0"/>
                <w:sz w:val="20"/>
                <w:szCs w:val="20"/>
                <w:highlight w:val="none"/>
              </w:rPr>
              <w:t>魅视</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2</w:t>
            </w:r>
          </w:p>
        </w:tc>
        <w:tc>
          <w:tcPr>
            <w:tcW w:w="568"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分布式坐席输出节点</w:t>
            </w:r>
          </w:p>
        </w:tc>
        <w:tc>
          <w:tcPr>
            <w:tcW w:w="2927" w:type="pct"/>
            <w:tcBorders>
              <w:top w:val="nil"/>
              <w:left w:val="nil"/>
              <w:bottom w:val="single" w:color="auto" w:sz="4" w:space="0"/>
              <w:right w:val="single" w:color="auto" w:sz="4" w:space="0"/>
            </w:tcBorders>
            <w:noWrap w:val="0"/>
            <w:vAlign w:val="top"/>
          </w:tcPr>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 xml:space="preserve"> 1、支持H.264/H.265编解码，具备编码后码流满足在 1 条千兆网线上传输内容各不相同的  10 路 4K@60 视 频流（即单路码率可低于 20Mbps），且视频流采 用计算机屏幕编码技术以实现 4：4：4 的全色域 采集和输出，达到视觉无损。；</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2、支持HDMI、DP、DVI、VGA、SDI等视频接口；</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3、支持3840*2160 60Hz分辨率，并支持向下任意兼容；支持多头显卡（不少于 4 路 4K）输出全屏动态视 频，软件编组后作为一个整体信号上墙，画面流畅， 完全同步，不撕裂，不卡顿。（需提供工业与信息化部检测报告并加盖原厂公章）</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4、节点日志功能：节点具备记录最少 10 万条底层操 作动作和错误情况等能力。（需提供工业与信息化部检测报告并加盖原厂公章）</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5、具备与安全通讯模块通讯的接口，杜绝 KVM 系统 的 USB 口与业务系统主机的 USB 口直接相连， 而是通过独立 KVM 适配器，以物理隔离方式连接 电脑主机 USB 口。该独立 KVM 适配器仅能被识 别为 HID 键鼠设备，为经国家网络与信息安全检 测中心检测认定的，符合《KVM 适配器信息安全 测试方案》相关要求的，不具有从目标电脑传输数 据、不会发起 HID 攻击、不会存储目标电脑数据 的安全通讯模块通讯。确保不可连接互联网主机不 会通过本系统连接互联网或者通过本系统将数据 泄露到互联网。（需提供工业与信息化部检测报告并加盖原厂公章）</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6、支持人脸识别登录席位且恢复上次工作状态；支持 人员离席 10 秒内自动锁定席位而无需人工操作； 支持席位实时识别人员在线状态。（需提供工业与信息化部检测报告并加盖原厂公章）</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7、具备键盘鼠标安全认证接口和模块，确保涉密主机 和互联网主机接入坐席安全可靠。</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8、支持虚拟 IP 功能：支持多路信号输入的节点，只 占用 1 路网络接口的情况下，虚拟为每路输入信号 产生 1 路不同 IP 地址和 MAC 地址；便于系统接 入且节省布线和网络资源；（需提供工业与信息化部检测报告并加盖原厂公章）</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9、为保证信息安全，接入主机的USB链路，不得具备数据拷贝能力，不得通讯能力（需提供国家认监委批注成立的权威机构的安全认证）</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 xml:space="preserve">10、为了保证信号传输的即时性，端对端延时需不高于20ms。         </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11、同时支持采用主流领先的压缩编码与解码技术，支 持 ITU-T H. 264 High Profile/Main Prof ile/BaselineProfile@Level5.1 编 码 ， 支持 ITU-TH.265MainlO/MainProfile@Level5.1 MainTier 编码,支持 B 帧；（需提供工业与信息化部检测报告并加盖原厂公章）</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12、采用完全分布式架构，无需服务器即可构建无服务器的去中心化分布式音视频网络，；节点间采用单播协议，无需交换机和接入网 络具备组播功能的情况下支持超过 200 路以上并 发，满足跨网段跨区域互联互通；同时，可兼容组 播，组播并发数量不受限制（需提供工业与信息化部检测报告）</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1</w:t>
            </w:r>
            <w:r>
              <w:rPr>
                <w:rFonts w:hint="eastAsia" w:ascii="宋体" w:hAnsi="宋体" w:cs="楷体"/>
                <w:kern w:val="0"/>
                <w:sz w:val="18"/>
                <w:szCs w:val="18"/>
                <w:highlight w:val="none"/>
                <w:lang w:val="en-US" w:eastAsia="zh-CN" w:bidi="ar-SA"/>
              </w:rPr>
              <w:t>3</w:t>
            </w:r>
            <w:r>
              <w:rPr>
                <w:rFonts w:hint="eastAsia" w:ascii="宋体" w:hAnsi="宋体" w:eastAsia="宋体" w:cs="楷体"/>
                <w:kern w:val="0"/>
                <w:sz w:val="18"/>
                <w:szCs w:val="18"/>
                <w:highlight w:val="none"/>
                <w:lang w:val="en-US" w:eastAsia="zh-CN" w:bidi="ar-SA"/>
              </w:rPr>
              <w:t xml:space="preserve">、支持多达16个输入音频混合输出，可支持16方MIC混合输出实现多方通话；（需提供工业和信息化部电子研究所提供的检测报告）                                        </w:t>
            </w:r>
          </w:p>
          <w:p>
            <w:pPr>
              <w:pStyle w:val="9"/>
              <w:numPr>
                <w:ilvl w:val="0"/>
                <w:numId w:val="0"/>
              </w:numPr>
              <w:ind w:leftChars="0"/>
              <w:rPr>
                <w:rFonts w:hint="eastAsia" w:ascii="微软雅黑" w:hAnsi="微软雅黑" w:eastAsia="微软雅黑" w:cs="宋体"/>
                <w:color w:val="000000"/>
                <w:kern w:val="0"/>
                <w:sz w:val="18"/>
                <w:szCs w:val="18"/>
                <w:highlight w:val="none"/>
              </w:rPr>
            </w:pPr>
            <w:r>
              <w:rPr>
                <w:rFonts w:hint="eastAsia" w:ascii="宋体" w:hAnsi="宋体" w:eastAsia="宋体" w:cs="楷体"/>
                <w:b/>
                <w:bCs/>
                <w:kern w:val="0"/>
                <w:sz w:val="18"/>
                <w:szCs w:val="18"/>
                <w:highlight w:val="none"/>
                <w:lang w:val="en-US" w:eastAsia="zh-CN" w:bidi="ar-SA"/>
              </w:rPr>
              <w:t>（以上参数项除特殊备注的项要求资料外，其余参数需提供佐证材料复印件加盖厂家公章逐项证明符合性，佐证材料不限于品牌官方网站介绍、品牌官方印刷的产品彩页、设备检测报告材料、产品厂家技术白皮书等，未提供视为负偏离项）</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台</w:t>
            </w:r>
          </w:p>
        </w:tc>
        <w:tc>
          <w:tcPr>
            <w:tcW w:w="290"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4</w:t>
            </w:r>
          </w:p>
        </w:tc>
        <w:tc>
          <w:tcPr>
            <w:tcW w:w="682"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xml:space="preserve">视音微云 </w:t>
            </w:r>
            <w:r>
              <w:rPr>
                <w:rFonts w:hint="eastAsia" w:hAnsi="宋体" w:eastAsia="宋体" w:cs="宋体"/>
                <w:color w:val="000000"/>
                <w:kern w:val="0"/>
                <w:sz w:val="20"/>
                <w:szCs w:val="20"/>
                <w:highlight w:val="none"/>
                <w:lang w:eastAsia="zh-CN"/>
              </w:rPr>
              <w:t>、</w:t>
            </w:r>
            <w:r>
              <w:rPr>
                <w:rFonts w:hint="eastAsia" w:ascii="宋体" w:hAnsi="宋体" w:eastAsia="宋体" w:cs="宋体"/>
                <w:color w:val="000000"/>
                <w:kern w:val="0"/>
                <w:sz w:val="20"/>
                <w:szCs w:val="20"/>
                <w:highlight w:val="none"/>
              </w:rPr>
              <w:t>佳比</w:t>
            </w:r>
            <w:r>
              <w:rPr>
                <w:rFonts w:hint="eastAsia" w:hAnsi="宋体" w:eastAsia="宋体" w:cs="宋体"/>
                <w:color w:val="000000"/>
                <w:kern w:val="0"/>
                <w:sz w:val="20"/>
                <w:szCs w:val="20"/>
                <w:highlight w:val="none"/>
                <w:lang w:eastAsia="zh-CN"/>
              </w:rPr>
              <w:t>、</w:t>
            </w:r>
            <w:r>
              <w:rPr>
                <w:rFonts w:hint="eastAsia" w:ascii="宋体" w:hAnsi="宋体" w:eastAsia="宋体" w:cs="宋体"/>
                <w:color w:val="000000"/>
                <w:kern w:val="0"/>
                <w:sz w:val="20"/>
                <w:szCs w:val="20"/>
                <w:highlight w:val="none"/>
              </w:rPr>
              <w:t>魅视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3</w:t>
            </w:r>
          </w:p>
        </w:tc>
        <w:tc>
          <w:tcPr>
            <w:tcW w:w="568"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分布式输入节点</w:t>
            </w:r>
          </w:p>
        </w:tc>
        <w:tc>
          <w:tcPr>
            <w:tcW w:w="2927" w:type="pct"/>
            <w:tcBorders>
              <w:top w:val="nil"/>
              <w:left w:val="nil"/>
              <w:bottom w:val="single" w:color="auto" w:sz="4" w:space="0"/>
              <w:right w:val="single" w:color="auto" w:sz="4" w:space="0"/>
            </w:tcBorders>
            <w:noWrap w:val="0"/>
            <w:vAlign w:val="center"/>
          </w:tcPr>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1、支持3840*2160 60Hz分辨率，并支持向下任意兼容；支持多头显卡（不少于 4 路 4K）输出全屏动态视 频，软件编组后作为一个整体信号上墙，画面流畅， 完全同步，不撕裂，不卡顿。（需提供工业与信息化部检测报告并加盖原厂公章）</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2、一路 HDMI 输入，一路 DP 输入，一路 HDMI/DP 环出，RJ45 接口带 POE 一个，SFP 光纤接口一个，USB3.0 接口一个，USB2.0 接口一个，安全可靠模块通讯 接口一个，3.81 凤凰端子的立体声音频输入和输 出各一个，3.5mmMIC 接口一个，RS485 接口一 个，RS232 接口一个，三组 IO 接口/IR 输出/IR 学 习，带螺纹锁定防脱落电源适配器接口 1 个 （5-12V 输入），具有防误动作功能的按键，可实 现一键恢复出厂设置；</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3、支持虚拟 IP 功能：支持多路信号输入的节点，只 占用 1 路网络接口的情况下，虚拟为每路输入信号 产生 1 路不同 IP 地址和 MAC 地址；便于系统接 入且节省布线和网络资源；（需提供工业与信息化部检测报告并加盖原厂公章）</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4、节点数量不受限制；具备跨 网段、跨 Vlan 通讯能力而无需交换机或者路由器 做任何其他配置</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5、视频流采 用计算机屏幕编码技术以实现 4：4：4 的全色域 采集和输出，达到视觉无损，在黑色背景下显示红色、蓝色、绿色以及其他颜色 的水平、垂直、斜线极细线（单像素）与原图无区 别；（需提供工业与信息化部检测报告并加盖原厂公章）</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6、为了保证信号传输的即时性，端对端延时需不高于20ms。                            7、支持 IPC 或者 H.265/264 码流直接接入，无需任 何额外设备；支持云台控制；支持 IPC 码流转发 100 路以上，以增强 IPC 多路并发数量；支持 RTSP、RTMP、TS、组播流等协议流媒体接入， 可直接解码网络摄像机信号；支持 https 通信，支 持 jason 数据解析，支持 xml 数据解析。（需提供工业与信息化部检测报告）</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8、同时支持采用主流领先的压缩编码与解码技术，支 持 ITU-T H. 264 High Profile/Main Prof ile/BaselineProfile@Level5.1 编 码 ， 支持 ITU-TH.265MainlO/MainProfile@Level5.1 MainTier 编码,支持 B 帧；（需提供工业与信息化部检测报告）</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9、采用完全分布式架构，无需服务器即可构建无服务器的去中心化分布式音视频网络，；节点间采用单播协议，无需交换机和接入网 络具备组播功能的情况下支持超过 200 路以上并 发，满足跨网段跨区域互联互通；同时，可兼容组 播，组播并发数量不受限制（需提供工业与信息化部检测报告）</w:t>
            </w:r>
          </w:p>
          <w:p>
            <w:pPr>
              <w:pStyle w:val="4"/>
              <w:ind w:left="0" w:leftChars="0" w:firstLine="0" w:firstLineChars="0"/>
              <w:rPr>
                <w:rFonts w:hint="eastAsia" w:ascii="微软雅黑" w:hAnsi="微软雅黑" w:eastAsia="微软雅黑" w:cs="宋体"/>
                <w:color w:val="000000"/>
                <w:kern w:val="0"/>
                <w:sz w:val="20"/>
                <w:szCs w:val="20"/>
                <w:highlight w:val="none"/>
              </w:rPr>
            </w:pPr>
            <w:r>
              <w:rPr>
                <w:rFonts w:hint="eastAsia" w:ascii="宋体" w:hAnsi="宋体" w:eastAsia="宋体" w:cs="楷体"/>
                <w:b/>
                <w:bCs/>
                <w:kern w:val="0"/>
                <w:sz w:val="18"/>
                <w:szCs w:val="18"/>
                <w:highlight w:val="none"/>
                <w:lang w:val="en-US" w:eastAsia="zh-CN" w:bidi="ar-SA"/>
              </w:rPr>
              <w:t>（以上参数项除特殊备注的项要求资料外，其余参数需提供佐证材料复印件加盖厂家公章逐项证明符合性，佐证材料不限于品牌官方网站介绍、品牌官方印刷的产品彩页、设备检测报告材料、产品厂家技术白皮书等，未提供视为负偏离项）</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台</w:t>
            </w:r>
          </w:p>
        </w:tc>
        <w:tc>
          <w:tcPr>
            <w:tcW w:w="290"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6</w:t>
            </w:r>
          </w:p>
        </w:tc>
        <w:tc>
          <w:tcPr>
            <w:tcW w:w="682"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xml:space="preserve">视音微云 </w:t>
            </w:r>
            <w:r>
              <w:rPr>
                <w:rFonts w:hint="eastAsia" w:hAnsi="宋体" w:eastAsia="宋体" w:cs="宋体"/>
                <w:color w:val="000000"/>
                <w:kern w:val="0"/>
                <w:sz w:val="20"/>
                <w:szCs w:val="20"/>
                <w:highlight w:val="none"/>
                <w:lang w:eastAsia="zh-CN"/>
              </w:rPr>
              <w:t>、</w:t>
            </w:r>
            <w:r>
              <w:rPr>
                <w:rFonts w:hint="eastAsia" w:ascii="宋体" w:hAnsi="宋体" w:eastAsia="宋体" w:cs="宋体"/>
                <w:color w:val="000000"/>
                <w:kern w:val="0"/>
                <w:sz w:val="20"/>
                <w:szCs w:val="20"/>
                <w:highlight w:val="none"/>
              </w:rPr>
              <w:t>佳比</w:t>
            </w:r>
            <w:r>
              <w:rPr>
                <w:rFonts w:hint="eastAsia" w:hAnsi="宋体" w:eastAsia="宋体" w:cs="宋体"/>
                <w:color w:val="000000"/>
                <w:kern w:val="0"/>
                <w:sz w:val="20"/>
                <w:szCs w:val="20"/>
                <w:highlight w:val="none"/>
                <w:lang w:eastAsia="zh-CN"/>
              </w:rPr>
              <w:t>、</w:t>
            </w:r>
            <w:r>
              <w:rPr>
                <w:rFonts w:hint="eastAsia" w:ascii="宋体" w:hAnsi="宋体" w:eastAsia="宋体" w:cs="宋体"/>
                <w:color w:val="000000"/>
                <w:kern w:val="0"/>
                <w:sz w:val="20"/>
                <w:szCs w:val="20"/>
                <w:highlight w:val="none"/>
              </w:rPr>
              <w:t>魅视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4</w:t>
            </w:r>
          </w:p>
        </w:tc>
        <w:tc>
          <w:tcPr>
            <w:tcW w:w="568"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分布式输出节点</w:t>
            </w:r>
          </w:p>
        </w:tc>
        <w:tc>
          <w:tcPr>
            <w:tcW w:w="2927" w:type="pct"/>
            <w:tcBorders>
              <w:top w:val="nil"/>
              <w:left w:val="nil"/>
              <w:bottom w:val="single" w:color="auto" w:sz="4" w:space="0"/>
              <w:right w:val="single" w:color="auto" w:sz="4" w:space="0"/>
            </w:tcBorders>
            <w:noWrap w:val="0"/>
            <w:vAlign w:val="top"/>
          </w:tcPr>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1、支持3840*2160 60Hz分辨率，支持 IPC 或者 H.265/264 码流直接接入，无需任 何额外设备；支持云台控制；支持 IPC 码流转发 100 路以上，以增强 IPC 多路并发数量；支持 RTSP、RTMP、TS、组播流等协议流媒体接入， 可直接解码网络摄像机信号；支持 https 通信，支 持 jason 数据解析，支持 xml 数据解析。（需提供工业与信息化部检测报告并加盖原厂公章）</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2、同时支持采用主流领先的压缩编码与解码技术，支 持 ITU-T H. 264 High Profile/Main Prof ile/BaselineProfile@Level5.1 编 码 ， 支持 ITU-TH.265MainlO/MainProfile@Level5.1 MainTier 编码,支持 B 帧；（需提供工业与信息化部检测报告并加盖原厂公章）</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3、采用完全分布式架构，无需服务器即可构建无服务器的去中心化分布式音视频网络，；节点间采用单播协议，无需交换机和接入网 络具备组播功能的情况下支持超过 200 路以上并 发，满足跨网段跨区域互联互通；同时，可兼容组 播，组播并发数量不受限制（需提供工业与信息化部检测报告并加盖原厂公章）</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4</w:t>
            </w:r>
            <w:r>
              <w:rPr>
                <w:rFonts w:hint="eastAsia" w:ascii="宋体" w:hAnsi="宋体" w:eastAsia="宋体" w:cs="楷体"/>
                <w:kern w:val="0"/>
                <w:sz w:val="18"/>
                <w:szCs w:val="18"/>
                <w:highlight w:val="none"/>
                <w:lang w:val="en-US" w:eastAsia="zh-CN" w:bidi="ar-SA"/>
              </w:rPr>
              <w:t>、 需支持HDMI、DVI、DP、VGA、DMS59等输入输出接口；</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5</w:t>
            </w:r>
            <w:r>
              <w:rPr>
                <w:rFonts w:hint="eastAsia" w:ascii="宋体" w:hAnsi="宋体" w:eastAsia="宋体" w:cs="楷体"/>
                <w:kern w:val="0"/>
                <w:sz w:val="18"/>
                <w:szCs w:val="18"/>
                <w:highlight w:val="none"/>
                <w:lang w:val="en-US" w:eastAsia="zh-CN" w:bidi="ar-SA"/>
              </w:rPr>
              <w:t>、 需具备不少于一路双向232，一路双向485，三路红外，三路I/O信号接口；需支持中控功能；</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6、 单元支持光纤接口，双网口接口；</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7、 为保障显示的流畅，分布式节点端到端传输延时可低至0ms；（提供具有CNAS认可标志和CMA认证标志的国家权威检测机构出具的检测报告并加盖原厂公章）</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8、为保证组网要求，节点应采用自适应编解码方式，码率可500K-40Mbps可调；输入节点每路视频可同时提供多种不同分辨率、不 同 帧 率 （ 1-60 帧）、不同码率的码流以适应本地 超清晰显示、远距离传输和视频录制、预览等不同 场景需求。</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（提供具有CNAS认可标志和CMA认证标志的国家权威检测机构出具的检测报告并加盖原厂公章）</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 xml:space="preserve">9、支持poe供电或电源适配器供电，可实现画面拼接，实时预览画面，画面显示位置可随意调整（提供公安部安全防范检测报告复印件并加盖公章）                                                                                </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 xml:space="preserve">10、为保障显示的流畅，分布式节点端到端传输延时可低至0ms；（提供具有CNAS认可标志和CMA认证标志的国家权威检测机构出具的检测报告并加盖原厂公章）                                                   </w:t>
            </w:r>
          </w:p>
          <w:p>
            <w:pPr>
              <w:pStyle w:val="9"/>
              <w:numPr>
                <w:ilvl w:val="0"/>
                <w:numId w:val="0"/>
              </w:numPr>
              <w:ind w:left="0" w:leftChars="0" w:firstLine="0" w:firstLineChars="0"/>
              <w:rPr>
                <w:rFonts w:hint="eastAsia" w:ascii="微软雅黑" w:hAnsi="微软雅黑" w:eastAsia="微软雅黑" w:cs="宋体"/>
                <w:color w:val="000000"/>
                <w:kern w:val="0"/>
                <w:sz w:val="20"/>
                <w:szCs w:val="20"/>
                <w:highlight w:val="none"/>
              </w:rPr>
            </w:pPr>
            <w:r>
              <w:rPr>
                <w:rFonts w:hint="eastAsia" w:ascii="宋体" w:hAnsi="宋体" w:eastAsia="宋体" w:cs="楷体"/>
                <w:b/>
                <w:bCs/>
                <w:kern w:val="0"/>
                <w:sz w:val="18"/>
                <w:szCs w:val="18"/>
                <w:highlight w:val="none"/>
                <w:lang w:val="en-US" w:eastAsia="zh-CN" w:bidi="ar-SA"/>
              </w:rPr>
              <w:t>（以上参数项除特殊备注的项要求资料外，其余参数需提供佐证材料复印件加盖厂家公章逐项证明符合性，佐证材料不限于品牌官方网站介绍、品牌官方印刷的产品彩页、设备检测报告材料、产品厂家技术白皮书等，未提供视为负偏离项）</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台</w:t>
            </w:r>
          </w:p>
        </w:tc>
        <w:tc>
          <w:tcPr>
            <w:tcW w:w="290"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6</w:t>
            </w:r>
          </w:p>
        </w:tc>
        <w:tc>
          <w:tcPr>
            <w:tcW w:w="682"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xml:space="preserve">视音微云 </w:t>
            </w:r>
            <w:r>
              <w:rPr>
                <w:rFonts w:hint="eastAsia" w:hAnsi="宋体" w:eastAsia="宋体" w:cs="宋体"/>
                <w:color w:val="000000"/>
                <w:kern w:val="0"/>
                <w:sz w:val="20"/>
                <w:szCs w:val="20"/>
                <w:highlight w:val="none"/>
                <w:lang w:eastAsia="zh-CN"/>
              </w:rPr>
              <w:t>、</w:t>
            </w:r>
            <w:r>
              <w:rPr>
                <w:rFonts w:hint="eastAsia" w:ascii="宋体" w:hAnsi="宋体" w:eastAsia="宋体" w:cs="宋体"/>
                <w:color w:val="000000"/>
                <w:kern w:val="0"/>
                <w:sz w:val="20"/>
                <w:szCs w:val="20"/>
                <w:highlight w:val="none"/>
              </w:rPr>
              <w:t>佳比</w:t>
            </w:r>
            <w:r>
              <w:rPr>
                <w:rFonts w:hint="eastAsia" w:hAnsi="宋体" w:eastAsia="宋体" w:cs="宋体"/>
                <w:color w:val="000000"/>
                <w:kern w:val="0"/>
                <w:sz w:val="20"/>
                <w:szCs w:val="20"/>
                <w:highlight w:val="none"/>
                <w:lang w:eastAsia="zh-CN"/>
              </w:rPr>
              <w:t>、</w:t>
            </w:r>
            <w:r>
              <w:rPr>
                <w:rFonts w:hint="eastAsia" w:ascii="宋体" w:hAnsi="宋体" w:eastAsia="宋体" w:cs="宋体"/>
                <w:color w:val="000000"/>
                <w:kern w:val="0"/>
                <w:sz w:val="20"/>
                <w:szCs w:val="20"/>
                <w:highlight w:val="none"/>
              </w:rPr>
              <w:t>魅视</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5</w:t>
            </w:r>
          </w:p>
        </w:tc>
        <w:tc>
          <w:tcPr>
            <w:tcW w:w="568"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分布式输入节点</w:t>
            </w:r>
          </w:p>
        </w:tc>
        <w:tc>
          <w:tcPr>
            <w:tcW w:w="2927" w:type="pct"/>
            <w:tcBorders>
              <w:top w:val="nil"/>
              <w:left w:val="nil"/>
              <w:bottom w:val="single" w:color="auto" w:sz="4" w:space="0"/>
              <w:right w:val="single" w:color="auto" w:sz="4" w:space="0"/>
            </w:tcBorders>
            <w:noWrap w:val="0"/>
            <w:vAlign w:val="top"/>
          </w:tcPr>
          <w:p>
            <w:pPr>
              <w:widowControl/>
              <w:jc w:val="left"/>
              <w:rPr>
                <w:rFonts w:hint="eastAsia" w:ascii="微软雅黑" w:hAnsi="微软雅黑" w:eastAsia="微软雅黑" w:cs="宋体"/>
                <w:color w:val="000000"/>
                <w:kern w:val="0"/>
                <w:sz w:val="18"/>
                <w:szCs w:val="18"/>
                <w:highlight w:val="none"/>
              </w:rPr>
            </w:pPr>
            <w:r>
              <w:rPr>
                <w:rFonts w:hint="eastAsia" w:ascii="宋体" w:hAnsi="宋体" w:eastAsia="宋体" w:cs="楷体"/>
                <w:kern w:val="0"/>
                <w:sz w:val="18"/>
                <w:szCs w:val="18"/>
                <w:highlight w:val="none"/>
                <w:lang w:val="en-US" w:eastAsia="zh-CN" w:bidi="ar-SA"/>
              </w:rPr>
              <w:t>支持常见 VGA、HDMI、DVI、SDI 等接口；支持不少于1路高清输入，1路高清输出，2路USB接口，1路232，1路485，3路红外兼容3路IO，每个处理器支持1路音频输入输出，支持3840x2160分辨率高清输入；支持265实时编码，支持输入视频实时预览、支持一键调用模式，支持POE供电和外部供电双供电模式，接入系统支持无服务器纯分布式架构，控制终端可视化操作界面</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台</w:t>
            </w:r>
          </w:p>
        </w:tc>
        <w:tc>
          <w:tcPr>
            <w:tcW w:w="290"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3</w:t>
            </w:r>
          </w:p>
        </w:tc>
        <w:tc>
          <w:tcPr>
            <w:tcW w:w="682"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xml:space="preserve">视音微云 </w:t>
            </w:r>
            <w:r>
              <w:rPr>
                <w:rFonts w:hint="eastAsia" w:hAnsi="宋体" w:eastAsia="宋体" w:cs="宋体"/>
                <w:color w:val="000000"/>
                <w:kern w:val="0"/>
                <w:sz w:val="20"/>
                <w:szCs w:val="20"/>
                <w:highlight w:val="none"/>
                <w:lang w:eastAsia="zh-CN"/>
              </w:rPr>
              <w:t>、</w:t>
            </w:r>
            <w:r>
              <w:rPr>
                <w:rFonts w:hint="eastAsia" w:ascii="宋体" w:hAnsi="宋体" w:eastAsia="宋体" w:cs="宋体"/>
                <w:color w:val="000000"/>
                <w:kern w:val="0"/>
                <w:sz w:val="20"/>
                <w:szCs w:val="20"/>
                <w:highlight w:val="none"/>
              </w:rPr>
              <w:t>佳比</w:t>
            </w:r>
            <w:r>
              <w:rPr>
                <w:rFonts w:hint="eastAsia" w:hAnsi="宋体" w:eastAsia="宋体" w:cs="宋体"/>
                <w:color w:val="000000"/>
                <w:kern w:val="0"/>
                <w:sz w:val="20"/>
                <w:szCs w:val="20"/>
                <w:highlight w:val="none"/>
                <w:lang w:eastAsia="zh-CN"/>
              </w:rPr>
              <w:t>、</w:t>
            </w:r>
            <w:r>
              <w:rPr>
                <w:rFonts w:hint="eastAsia" w:ascii="宋体" w:hAnsi="宋体" w:eastAsia="宋体" w:cs="宋体"/>
                <w:color w:val="000000"/>
                <w:kern w:val="0"/>
                <w:sz w:val="20"/>
                <w:szCs w:val="20"/>
                <w:highlight w:val="none"/>
              </w:rPr>
              <w:t>魅视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6</w:t>
            </w:r>
          </w:p>
        </w:tc>
        <w:tc>
          <w:tcPr>
            <w:tcW w:w="568"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分布式音视频控制软件</w:t>
            </w:r>
          </w:p>
        </w:tc>
        <w:tc>
          <w:tcPr>
            <w:tcW w:w="2927" w:type="pct"/>
            <w:tcBorders>
              <w:top w:val="nil"/>
              <w:left w:val="nil"/>
              <w:bottom w:val="single" w:color="auto" w:sz="4" w:space="0"/>
              <w:right w:val="single" w:color="auto" w:sz="4" w:space="0"/>
            </w:tcBorders>
            <w:noWrap w:val="0"/>
            <w:vAlign w:val="center"/>
          </w:tcPr>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1、兼容主流视频采集设备，支持N路图像资源同时接入，可扩容至N+路图像的配置及管理能力；</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2、包括总体平台数据、权限认证管理、日志管理、消息管理、系统巡检、预案管理等功能；</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3、包含流媒体转发模块；</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4、提供二次开发接口；</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5.要求直接对接海康、大华、宇视、科达等主流安防平台、或者支持GB28181的安防平台、或者华为云视频等，无需任何编码器解码器，即可软件端完整克隆安防平台内摄像头的组织架构，并以拖放方式拖到大屏幕，或者进行云台控制 ；（须提供安防平台对接软件计算机软件著作权加盖公章）</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 xml:space="preserve">6.为满足跨平台和移动终端使用，要求通过B/S方式，实现平台可视化展示，包括在线节点状态、使用时长、用户在线数量、网路超限、中断等进行监测，以便对平台健康进行管理，防范于未然。（须提供分布式运维管理平台软件计算机软件著作权加盖公章）                                                           7.要素预布局功能：支持操作终端预先所见所得的对屏幕进行布局，而不影响屏幕显示；布局完成并需要切换场景时一键发送，一键切换； （须提供要素预布局软件计算机软件著作权加盖公章）                                                                                                         8.支持信号裁剪上墙，以便突出重点，屏蔽无需上墙的内容（须提供信号裁剪功能软件计算机软件著作权加盖公章） </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 xml:space="preserve">9、一体化控制具有显示单元控制、显示预案调取管理、录播系统管理、音频控制管理、设备使用状态查询、播放软件控制等功能；                                                                                                                                     </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10、计算机供软件登记证书，高新技术企业、软件企业证明函、IP5X防尘报告、音频ACC编码软件著作权、数据全适应场景软件著作权并加盖原厂公章</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b/>
                <w:bCs/>
                <w:kern w:val="0"/>
                <w:sz w:val="18"/>
                <w:szCs w:val="18"/>
                <w:highlight w:val="none"/>
                <w:lang w:val="en-US" w:eastAsia="zh-CN" w:bidi="ar-SA"/>
              </w:rPr>
              <w:t>（以上参数项除特殊备注的项要求资料外，其余参数需提供佐证材料复印件加盖厂家公章逐项证明符合性，佐证材料不限于品牌官方网站介绍、品牌官方印刷的产品彩页、设备检测报告材料、产品厂家技术白皮书等，未提供视为负偏离项）</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套</w:t>
            </w:r>
          </w:p>
        </w:tc>
        <w:tc>
          <w:tcPr>
            <w:tcW w:w="290"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23</w:t>
            </w:r>
          </w:p>
        </w:tc>
        <w:tc>
          <w:tcPr>
            <w:tcW w:w="682"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xml:space="preserve">视音微云 </w:t>
            </w:r>
            <w:r>
              <w:rPr>
                <w:rFonts w:hint="eastAsia" w:hAnsi="宋体" w:eastAsia="宋体" w:cs="宋体"/>
                <w:color w:val="000000"/>
                <w:kern w:val="0"/>
                <w:sz w:val="20"/>
                <w:szCs w:val="20"/>
                <w:highlight w:val="none"/>
                <w:lang w:eastAsia="zh-CN"/>
              </w:rPr>
              <w:t>、</w:t>
            </w:r>
            <w:r>
              <w:rPr>
                <w:rFonts w:hint="eastAsia" w:ascii="宋体" w:hAnsi="宋体" w:eastAsia="宋体" w:cs="宋体"/>
                <w:color w:val="000000"/>
                <w:kern w:val="0"/>
                <w:sz w:val="20"/>
                <w:szCs w:val="20"/>
                <w:highlight w:val="none"/>
              </w:rPr>
              <w:t>佳比</w:t>
            </w:r>
            <w:r>
              <w:rPr>
                <w:rFonts w:hint="eastAsia" w:hAnsi="宋体" w:eastAsia="宋体" w:cs="宋体"/>
                <w:color w:val="000000"/>
                <w:kern w:val="0"/>
                <w:sz w:val="20"/>
                <w:szCs w:val="20"/>
                <w:highlight w:val="none"/>
                <w:lang w:eastAsia="zh-CN"/>
              </w:rPr>
              <w:t>、</w:t>
            </w:r>
            <w:r>
              <w:rPr>
                <w:rFonts w:hint="eastAsia" w:ascii="宋体" w:hAnsi="宋体" w:eastAsia="宋体" w:cs="宋体"/>
                <w:color w:val="000000"/>
                <w:kern w:val="0"/>
                <w:sz w:val="20"/>
                <w:szCs w:val="20"/>
                <w:highlight w:val="none"/>
              </w:rPr>
              <w:t>魅视</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7</w:t>
            </w:r>
          </w:p>
        </w:tc>
        <w:tc>
          <w:tcPr>
            <w:tcW w:w="568"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分布式控制节点</w:t>
            </w:r>
          </w:p>
        </w:tc>
        <w:tc>
          <w:tcPr>
            <w:tcW w:w="2927" w:type="pct"/>
            <w:tcBorders>
              <w:top w:val="nil"/>
              <w:left w:val="nil"/>
              <w:bottom w:val="single" w:color="auto" w:sz="4" w:space="0"/>
              <w:right w:val="single" w:color="auto" w:sz="4" w:space="0"/>
            </w:tcBorders>
            <w:noWrap w:val="0"/>
            <w:vAlign w:val="center"/>
          </w:tcPr>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1. 具有10个可编程串口，任意串口可工作过程中变换波特率；（须提供具有CNAS和CMA标识的检测报告并加盖原厂公章）</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2. 具有4个模拟量输入接口，配合少量电路即可测试信号强度、光亮度、电流等；</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3. 具有1个模拟量输出接口，可控制 LED 调光器、调速器等模拟量输入设备；</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4. 具备8路弱继电器，提供开关量输出；</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5. 具备8路红外，支持一个红外接口发无限种红外码；</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6. 可直接通过 UDP 协议控制网络设备；</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7. 具备可拔插硬盘，可记录系统工作日志 ;</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8. 具备两路 NET 接口，可挂载电源管理器等多达 256 台 485 网络设备；</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9. 可选配 DMX512 接口，用于直接控制灯光系统；（须提供具有CNAS和CMA标识的检测报告并加盖原厂公章）</w:t>
            </w:r>
          </w:p>
          <w:p>
            <w:pPr>
              <w:pStyle w:val="9"/>
              <w:numPr>
                <w:ilvl w:val="0"/>
                <w:numId w:val="0"/>
              </w:numPr>
              <w:ind w:leftChars="0"/>
              <w:rPr>
                <w:rFonts w:hint="eastAsia" w:ascii="微软雅黑" w:hAnsi="微软雅黑" w:eastAsia="微软雅黑" w:cs="宋体"/>
                <w:color w:val="000000"/>
                <w:kern w:val="0"/>
                <w:sz w:val="20"/>
                <w:szCs w:val="20"/>
                <w:highlight w:val="none"/>
              </w:rPr>
            </w:pPr>
            <w:r>
              <w:rPr>
                <w:rFonts w:hint="eastAsia" w:ascii="宋体" w:hAnsi="宋体" w:eastAsia="宋体" w:cs="楷体"/>
                <w:b/>
                <w:bCs/>
                <w:kern w:val="0"/>
                <w:sz w:val="18"/>
                <w:szCs w:val="18"/>
                <w:highlight w:val="none"/>
                <w:lang w:val="en-US" w:eastAsia="zh-CN" w:bidi="ar-SA"/>
              </w:rPr>
              <w:t>（以上参数项除特殊备注的项要求资料外，其余参数需提供佐证材料复印件加盖厂家公章逐项证明符合性，佐证材料不限于品牌官方网站介绍、品牌官方印刷的产品彩页、设备检测报告材料、产品厂家技术白皮书等，未提供视为负偏离项）</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台</w:t>
            </w:r>
          </w:p>
        </w:tc>
        <w:tc>
          <w:tcPr>
            <w:tcW w:w="290"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w:t>
            </w:r>
          </w:p>
        </w:tc>
        <w:tc>
          <w:tcPr>
            <w:tcW w:w="682"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xml:space="preserve">视音微云 </w:t>
            </w:r>
            <w:r>
              <w:rPr>
                <w:rFonts w:hint="eastAsia" w:hAnsi="宋体" w:eastAsia="宋体" w:cs="宋体"/>
                <w:color w:val="000000"/>
                <w:kern w:val="0"/>
                <w:sz w:val="20"/>
                <w:szCs w:val="20"/>
                <w:highlight w:val="none"/>
                <w:lang w:eastAsia="zh-CN"/>
              </w:rPr>
              <w:t>、</w:t>
            </w:r>
            <w:r>
              <w:rPr>
                <w:rFonts w:hint="eastAsia" w:ascii="宋体" w:hAnsi="宋体" w:eastAsia="宋体" w:cs="宋体"/>
                <w:color w:val="000000"/>
                <w:kern w:val="0"/>
                <w:sz w:val="20"/>
                <w:szCs w:val="20"/>
                <w:highlight w:val="none"/>
              </w:rPr>
              <w:t>佳比</w:t>
            </w:r>
            <w:r>
              <w:rPr>
                <w:rFonts w:hint="eastAsia" w:hAnsi="宋体" w:eastAsia="宋体" w:cs="宋体"/>
                <w:color w:val="000000"/>
                <w:kern w:val="0"/>
                <w:sz w:val="20"/>
                <w:szCs w:val="20"/>
                <w:highlight w:val="none"/>
                <w:lang w:eastAsia="zh-CN"/>
              </w:rPr>
              <w:t>、</w:t>
            </w:r>
            <w:r>
              <w:rPr>
                <w:rFonts w:hint="eastAsia" w:ascii="宋体" w:hAnsi="宋体" w:eastAsia="宋体" w:cs="宋体"/>
                <w:color w:val="000000"/>
                <w:kern w:val="0"/>
                <w:sz w:val="20"/>
                <w:szCs w:val="20"/>
                <w:highlight w:val="none"/>
              </w:rPr>
              <w:t>魅视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8</w:t>
            </w:r>
          </w:p>
        </w:tc>
        <w:tc>
          <w:tcPr>
            <w:tcW w:w="568"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继电器</w:t>
            </w:r>
          </w:p>
        </w:tc>
        <w:tc>
          <w:tcPr>
            <w:tcW w:w="2927" w:type="pct"/>
            <w:tcBorders>
              <w:top w:val="nil"/>
              <w:left w:val="nil"/>
              <w:bottom w:val="single" w:color="auto" w:sz="4" w:space="0"/>
              <w:right w:val="single" w:color="auto" w:sz="4" w:space="0"/>
            </w:tcBorders>
            <w:noWrap w:val="0"/>
            <w:vAlign w:val="top"/>
          </w:tcPr>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1、手动控制；</w:t>
            </w:r>
          </w:p>
          <w:p>
            <w:pPr>
              <w:pStyle w:val="9"/>
              <w:numPr>
                <w:ilvl w:val="0"/>
                <w:numId w:val="0"/>
              </w:numPr>
              <w:ind w:leftChars="0"/>
              <w:rPr>
                <w:rFonts w:hint="eastAsia" w:ascii="微软雅黑" w:hAnsi="微软雅黑" w:eastAsia="微软雅黑" w:cs="宋体"/>
                <w:color w:val="000000"/>
                <w:kern w:val="0"/>
                <w:sz w:val="18"/>
                <w:szCs w:val="18"/>
                <w:highlight w:val="none"/>
              </w:rPr>
            </w:pPr>
            <w:r>
              <w:rPr>
                <w:rFonts w:hint="eastAsia" w:ascii="宋体" w:hAnsi="宋体" w:eastAsia="宋体" w:cs="楷体"/>
                <w:kern w:val="0"/>
                <w:sz w:val="18"/>
                <w:szCs w:val="18"/>
                <w:highlight w:val="none"/>
                <w:lang w:val="en-US" w:eastAsia="zh-CN" w:bidi="ar-SA"/>
              </w:rPr>
              <w:t>2、前面板 8 个硅胶发光按键控制，带状态指示，紧急情况下可以手动控制继电器的开关，在中控出现故障时可使用这一功能，很好的保护其他的设备。</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台</w:t>
            </w:r>
          </w:p>
        </w:tc>
        <w:tc>
          <w:tcPr>
            <w:tcW w:w="290"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3</w:t>
            </w:r>
          </w:p>
        </w:tc>
        <w:tc>
          <w:tcPr>
            <w:tcW w:w="682"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xml:space="preserve">视音微云 </w:t>
            </w:r>
            <w:r>
              <w:rPr>
                <w:rFonts w:hint="eastAsia" w:hAnsi="宋体" w:eastAsia="宋体" w:cs="宋体"/>
                <w:color w:val="000000"/>
                <w:kern w:val="0"/>
                <w:sz w:val="20"/>
                <w:szCs w:val="20"/>
                <w:highlight w:val="none"/>
                <w:lang w:eastAsia="zh-CN"/>
              </w:rPr>
              <w:t>、</w:t>
            </w:r>
            <w:r>
              <w:rPr>
                <w:rFonts w:hint="eastAsia" w:ascii="宋体" w:hAnsi="宋体" w:eastAsia="宋体" w:cs="宋体"/>
                <w:color w:val="000000"/>
                <w:kern w:val="0"/>
                <w:sz w:val="20"/>
                <w:szCs w:val="20"/>
                <w:highlight w:val="none"/>
              </w:rPr>
              <w:t>佳比</w:t>
            </w:r>
            <w:r>
              <w:rPr>
                <w:rFonts w:hint="eastAsia" w:hAnsi="宋体" w:eastAsia="宋体" w:cs="宋体"/>
                <w:color w:val="000000"/>
                <w:kern w:val="0"/>
                <w:sz w:val="20"/>
                <w:szCs w:val="20"/>
                <w:highlight w:val="none"/>
                <w:lang w:eastAsia="zh-CN"/>
              </w:rPr>
              <w:t>、</w:t>
            </w:r>
            <w:r>
              <w:rPr>
                <w:rFonts w:hint="eastAsia" w:ascii="宋体" w:hAnsi="宋体" w:eastAsia="宋体" w:cs="宋体"/>
                <w:color w:val="000000"/>
                <w:kern w:val="0"/>
                <w:sz w:val="20"/>
                <w:szCs w:val="20"/>
                <w:highlight w:val="none"/>
              </w:rPr>
              <w:t>魅视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9</w:t>
            </w:r>
          </w:p>
        </w:tc>
        <w:tc>
          <w:tcPr>
            <w:tcW w:w="568"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分布式机架</w:t>
            </w:r>
          </w:p>
        </w:tc>
        <w:tc>
          <w:tcPr>
            <w:tcW w:w="2927" w:type="pct"/>
            <w:tcBorders>
              <w:top w:val="nil"/>
              <w:left w:val="nil"/>
              <w:bottom w:val="single" w:color="auto" w:sz="4" w:space="0"/>
              <w:right w:val="single" w:color="auto" w:sz="4" w:space="0"/>
            </w:tcBorders>
            <w:noWrap w:val="0"/>
            <w:vAlign w:val="center"/>
          </w:tcPr>
          <w:p>
            <w:pPr>
              <w:widowControl/>
              <w:jc w:val="left"/>
              <w:rPr>
                <w:rFonts w:hint="eastAsia" w:ascii="微软雅黑" w:hAnsi="微软雅黑" w:eastAsia="微软雅黑" w:cs="宋体"/>
                <w:color w:val="000000"/>
                <w:kern w:val="0"/>
                <w:sz w:val="20"/>
                <w:szCs w:val="20"/>
                <w:highlight w:val="none"/>
              </w:rPr>
            </w:pPr>
            <w:r>
              <w:rPr>
                <w:rFonts w:hint="eastAsia" w:ascii="宋体" w:hAnsi="宋体" w:eastAsia="宋体" w:cs="楷体"/>
                <w:kern w:val="0"/>
                <w:sz w:val="18"/>
                <w:szCs w:val="18"/>
                <w:highlight w:val="none"/>
                <w:lang w:val="en-US" w:eastAsia="zh-CN" w:bidi="ar-SA"/>
              </w:rPr>
              <w:t>可装10个分布式节点</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台</w:t>
            </w:r>
          </w:p>
        </w:tc>
        <w:tc>
          <w:tcPr>
            <w:tcW w:w="290"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3</w:t>
            </w:r>
          </w:p>
        </w:tc>
        <w:tc>
          <w:tcPr>
            <w:tcW w:w="682"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xml:space="preserve">视音微云 </w:t>
            </w:r>
            <w:r>
              <w:rPr>
                <w:rFonts w:hint="eastAsia" w:hAnsi="宋体" w:eastAsia="宋体" w:cs="宋体"/>
                <w:color w:val="000000"/>
                <w:kern w:val="0"/>
                <w:sz w:val="20"/>
                <w:szCs w:val="20"/>
                <w:highlight w:val="none"/>
                <w:lang w:eastAsia="zh-CN"/>
              </w:rPr>
              <w:t>、</w:t>
            </w:r>
            <w:r>
              <w:rPr>
                <w:rFonts w:hint="eastAsia" w:ascii="宋体" w:hAnsi="宋体" w:eastAsia="宋体" w:cs="宋体"/>
                <w:color w:val="000000"/>
                <w:kern w:val="0"/>
                <w:sz w:val="20"/>
                <w:szCs w:val="20"/>
                <w:highlight w:val="none"/>
              </w:rPr>
              <w:t>佳比</w:t>
            </w:r>
            <w:r>
              <w:rPr>
                <w:rFonts w:hint="eastAsia" w:hAnsi="宋体" w:eastAsia="宋体" w:cs="宋体"/>
                <w:color w:val="000000"/>
                <w:kern w:val="0"/>
                <w:sz w:val="20"/>
                <w:szCs w:val="20"/>
                <w:highlight w:val="none"/>
                <w:lang w:eastAsia="zh-CN"/>
              </w:rPr>
              <w:t>、</w:t>
            </w:r>
            <w:r>
              <w:rPr>
                <w:rFonts w:hint="eastAsia" w:ascii="宋体" w:hAnsi="宋体" w:eastAsia="宋体" w:cs="宋体"/>
                <w:color w:val="000000"/>
                <w:kern w:val="0"/>
                <w:sz w:val="20"/>
                <w:szCs w:val="20"/>
                <w:highlight w:val="none"/>
              </w:rPr>
              <w:t>魅视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10</w:t>
            </w:r>
          </w:p>
        </w:tc>
        <w:tc>
          <w:tcPr>
            <w:tcW w:w="568"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可定制界面设计及软件控制编程</w:t>
            </w:r>
          </w:p>
        </w:tc>
        <w:tc>
          <w:tcPr>
            <w:tcW w:w="2927" w:type="pct"/>
            <w:tcBorders>
              <w:top w:val="nil"/>
              <w:left w:val="nil"/>
              <w:bottom w:val="single" w:color="auto" w:sz="4" w:space="0"/>
              <w:right w:val="single" w:color="auto" w:sz="4" w:space="0"/>
            </w:tcBorders>
            <w:noWrap w:val="0"/>
            <w:vAlign w:val="center"/>
          </w:tcPr>
          <w:p>
            <w:pPr>
              <w:pStyle w:val="9"/>
              <w:numPr>
                <w:ilvl w:val="0"/>
                <w:numId w:val="0"/>
              </w:numPr>
              <w:ind w:leftChars="0"/>
              <w:rPr>
                <w:rFonts w:hint="eastAsia"/>
                <w:highlight w:val="none"/>
              </w:rPr>
            </w:pPr>
            <w:r>
              <w:rPr>
                <w:rFonts w:hint="eastAsia" w:ascii="宋体" w:hAnsi="宋体" w:cs="楷体"/>
                <w:kern w:val="0"/>
                <w:sz w:val="18"/>
                <w:szCs w:val="18"/>
                <w:highlight w:val="none"/>
                <w:lang w:val="en-US" w:eastAsia="zh-CN" w:bidi="ar-SA"/>
              </w:rPr>
              <w:t>定制</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套</w:t>
            </w:r>
          </w:p>
        </w:tc>
        <w:tc>
          <w:tcPr>
            <w:tcW w:w="290"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w:t>
            </w:r>
          </w:p>
        </w:tc>
        <w:tc>
          <w:tcPr>
            <w:tcW w:w="682"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xml:space="preserve">视音微云 </w:t>
            </w:r>
            <w:r>
              <w:rPr>
                <w:rFonts w:hint="eastAsia" w:hAnsi="宋体" w:eastAsia="宋体" w:cs="宋体"/>
                <w:color w:val="000000"/>
                <w:kern w:val="0"/>
                <w:sz w:val="20"/>
                <w:szCs w:val="20"/>
                <w:highlight w:val="none"/>
                <w:lang w:eastAsia="zh-CN"/>
              </w:rPr>
              <w:t>、</w:t>
            </w:r>
            <w:r>
              <w:rPr>
                <w:rFonts w:hint="eastAsia" w:ascii="宋体" w:hAnsi="宋体" w:eastAsia="宋体" w:cs="宋体"/>
                <w:color w:val="000000"/>
                <w:kern w:val="0"/>
                <w:sz w:val="20"/>
                <w:szCs w:val="20"/>
                <w:highlight w:val="none"/>
              </w:rPr>
              <w:t>佳比</w:t>
            </w:r>
            <w:r>
              <w:rPr>
                <w:rFonts w:hint="eastAsia" w:hAnsi="宋体" w:eastAsia="宋体" w:cs="宋体"/>
                <w:color w:val="000000"/>
                <w:kern w:val="0"/>
                <w:sz w:val="20"/>
                <w:szCs w:val="20"/>
                <w:highlight w:val="none"/>
                <w:lang w:eastAsia="zh-CN"/>
              </w:rPr>
              <w:t>、</w:t>
            </w:r>
            <w:r>
              <w:rPr>
                <w:rFonts w:hint="eastAsia" w:ascii="宋体" w:hAnsi="宋体" w:eastAsia="宋体" w:cs="宋体"/>
                <w:color w:val="000000"/>
                <w:kern w:val="0"/>
                <w:sz w:val="20"/>
                <w:szCs w:val="20"/>
                <w:highlight w:val="none"/>
              </w:rPr>
              <w:t>魅视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11</w:t>
            </w:r>
          </w:p>
        </w:tc>
        <w:tc>
          <w:tcPr>
            <w:tcW w:w="568"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加密狗</w:t>
            </w:r>
          </w:p>
        </w:tc>
        <w:tc>
          <w:tcPr>
            <w:tcW w:w="2927" w:type="pct"/>
            <w:tcBorders>
              <w:top w:val="nil"/>
              <w:left w:val="nil"/>
              <w:bottom w:val="single" w:color="auto" w:sz="4" w:space="0"/>
              <w:right w:val="single" w:color="auto" w:sz="4" w:space="0"/>
            </w:tcBorders>
            <w:noWrap w:val="0"/>
            <w:vAlign w:val="center"/>
          </w:tcPr>
          <w:p>
            <w:pPr>
              <w:widowControl/>
              <w:jc w:val="left"/>
              <w:rPr>
                <w:rFonts w:hint="eastAsia" w:ascii="微软雅黑" w:hAnsi="微软雅黑" w:eastAsia="微软雅黑" w:cs="宋体"/>
                <w:color w:val="000000"/>
                <w:kern w:val="0"/>
                <w:sz w:val="20"/>
                <w:szCs w:val="20"/>
                <w:highlight w:val="none"/>
              </w:rPr>
            </w:pPr>
            <w:r>
              <w:rPr>
                <w:rFonts w:hint="eastAsia" w:ascii="宋体" w:hAnsi="宋体" w:eastAsia="宋体" w:cs="楷体"/>
                <w:kern w:val="0"/>
                <w:sz w:val="18"/>
                <w:szCs w:val="18"/>
                <w:highlight w:val="none"/>
                <w:lang w:val="en-US" w:eastAsia="zh-CN" w:bidi="ar-SA"/>
              </w:rPr>
              <w:t>PC软件加密证书</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套</w:t>
            </w:r>
          </w:p>
        </w:tc>
        <w:tc>
          <w:tcPr>
            <w:tcW w:w="290"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w:t>
            </w:r>
          </w:p>
        </w:tc>
        <w:tc>
          <w:tcPr>
            <w:tcW w:w="682"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xml:space="preserve">视音微云 </w:t>
            </w:r>
            <w:r>
              <w:rPr>
                <w:rFonts w:hint="eastAsia" w:hAnsi="宋体" w:eastAsia="宋体" w:cs="宋体"/>
                <w:color w:val="000000"/>
                <w:kern w:val="0"/>
                <w:sz w:val="20"/>
                <w:szCs w:val="20"/>
                <w:highlight w:val="none"/>
                <w:lang w:eastAsia="zh-CN"/>
              </w:rPr>
              <w:t>、</w:t>
            </w:r>
            <w:r>
              <w:rPr>
                <w:rFonts w:hint="eastAsia" w:ascii="宋体" w:hAnsi="宋体" w:eastAsia="宋体" w:cs="宋体"/>
                <w:color w:val="000000"/>
                <w:kern w:val="0"/>
                <w:sz w:val="20"/>
                <w:szCs w:val="20"/>
                <w:highlight w:val="none"/>
              </w:rPr>
              <w:t>佳比</w:t>
            </w:r>
            <w:r>
              <w:rPr>
                <w:rFonts w:hint="eastAsia" w:hAnsi="宋体" w:eastAsia="宋体" w:cs="宋体"/>
                <w:color w:val="000000"/>
                <w:kern w:val="0"/>
                <w:sz w:val="20"/>
                <w:szCs w:val="20"/>
                <w:highlight w:val="none"/>
                <w:lang w:eastAsia="zh-CN"/>
              </w:rPr>
              <w:t>、</w:t>
            </w:r>
            <w:r>
              <w:rPr>
                <w:rFonts w:hint="eastAsia" w:ascii="宋体" w:hAnsi="宋体" w:eastAsia="宋体" w:cs="宋体"/>
                <w:color w:val="000000"/>
                <w:kern w:val="0"/>
                <w:sz w:val="20"/>
                <w:szCs w:val="20"/>
                <w:highlight w:val="none"/>
              </w:rPr>
              <w:t>魅视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12</w:t>
            </w:r>
          </w:p>
        </w:tc>
        <w:tc>
          <w:tcPr>
            <w:tcW w:w="568"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无线路由器</w:t>
            </w:r>
          </w:p>
        </w:tc>
        <w:tc>
          <w:tcPr>
            <w:tcW w:w="2927" w:type="pct"/>
            <w:tcBorders>
              <w:top w:val="nil"/>
              <w:left w:val="nil"/>
              <w:bottom w:val="single" w:color="auto" w:sz="4" w:space="0"/>
              <w:right w:val="single" w:color="auto" w:sz="4" w:space="0"/>
            </w:tcBorders>
            <w:noWrap w:val="0"/>
            <w:vAlign w:val="center"/>
          </w:tcPr>
          <w:p>
            <w:pPr>
              <w:widowControl/>
              <w:jc w:val="left"/>
              <w:rPr>
                <w:rFonts w:hint="eastAsia" w:ascii="微软雅黑" w:hAnsi="微软雅黑" w:eastAsia="微软雅黑" w:cs="宋体"/>
                <w:color w:val="000000"/>
                <w:kern w:val="0"/>
                <w:sz w:val="20"/>
                <w:szCs w:val="20"/>
                <w:highlight w:val="none"/>
              </w:rPr>
            </w:pPr>
            <w:r>
              <w:rPr>
                <w:rFonts w:hint="eastAsia" w:ascii="宋体" w:hAnsi="宋体" w:eastAsia="宋体" w:cs="楷体"/>
                <w:kern w:val="0"/>
                <w:sz w:val="18"/>
                <w:szCs w:val="18"/>
                <w:highlight w:val="none"/>
                <w:lang w:val="en-US" w:eastAsia="zh-CN" w:bidi="ar-SA"/>
              </w:rPr>
              <w:t>1.Wan口数量（千兆）：1个</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楷体"/>
                <w:kern w:val="0"/>
                <w:sz w:val="18"/>
                <w:szCs w:val="18"/>
                <w:highlight w:val="none"/>
                <w:lang w:val="en-US" w:eastAsia="zh-CN" w:bidi="ar-SA"/>
              </w:rPr>
              <w:t>2. Lan口数量（千兆）：4个</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楷体"/>
                <w:kern w:val="0"/>
                <w:sz w:val="18"/>
                <w:szCs w:val="18"/>
                <w:highlight w:val="none"/>
                <w:lang w:val="en-US" w:eastAsia="zh-CN" w:bidi="ar-SA"/>
              </w:rPr>
              <w:t>3.网络协议：TCP/IP协议</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楷体"/>
                <w:kern w:val="0"/>
                <w:sz w:val="18"/>
                <w:szCs w:val="18"/>
                <w:highlight w:val="none"/>
                <w:lang w:val="en-US" w:eastAsia="zh-CN" w:bidi="ar-SA"/>
              </w:rPr>
              <w:t>4.适用频段：2.4GHz+5GHz</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楷体"/>
                <w:kern w:val="0"/>
                <w:sz w:val="18"/>
                <w:szCs w:val="18"/>
                <w:highlight w:val="none"/>
                <w:lang w:val="en-US" w:eastAsia="zh-CN" w:bidi="ar-SA"/>
              </w:rPr>
              <w:t>5.传输速率：2600M</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台</w:t>
            </w:r>
          </w:p>
        </w:tc>
        <w:tc>
          <w:tcPr>
            <w:tcW w:w="290"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w:t>
            </w:r>
          </w:p>
        </w:tc>
        <w:tc>
          <w:tcPr>
            <w:tcW w:w="682"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华为、TP-Link、华三</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13</w:t>
            </w:r>
          </w:p>
        </w:tc>
        <w:tc>
          <w:tcPr>
            <w:tcW w:w="568"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三层千兆交换机</w:t>
            </w:r>
          </w:p>
        </w:tc>
        <w:tc>
          <w:tcPr>
            <w:tcW w:w="2927" w:type="pct"/>
            <w:tcBorders>
              <w:top w:val="nil"/>
              <w:left w:val="nil"/>
              <w:bottom w:val="single" w:color="auto" w:sz="4" w:space="0"/>
              <w:right w:val="single" w:color="auto" w:sz="4" w:space="0"/>
            </w:tcBorders>
            <w:noWrap w:val="0"/>
            <w:vAlign w:val="center"/>
          </w:tcPr>
          <w:p>
            <w:pPr>
              <w:widowControl/>
              <w:jc w:val="left"/>
              <w:rPr>
                <w:rFonts w:hint="eastAsia" w:ascii="微软雅黑" w:hAnsi="微软雅黑" w:eastAsia="微软雅黑" w:cs="宋体"/>
                <w:color w:val="000000"/>
                <w:kern w:val="0"/>
                <w:sz w:val="20"/>
                <w:szCs w:val="20"/>
                <w:highlight w:val="none"/>
              </w:rPr>
            </w:pPr>
            <w:r>
              <w:rPr>
                <w:rFonts w:hint="eastAsia" w:ascii="宋体" w:hAnsi="宋体" w:eastAsia="宋体" w:cs="楷体"/>
                <w:kern w:val="0"/>
                <w:sz w:val="18"/>
                <w:szCs w:val="18"/>
                <w:highlight w:val="none"/>
                <w:lang w:val="en-US" w:eastAsia="zh-CN" w:bidi="ar-SA"/>
              </w:rPr>
              <w:t>1、应用层级：三层；双电源POE；</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楷体"/>
                <w:kern w:val="0"/>
                <w:sz w:val="18"/>
                <w:szCs w:val="18"/>
                <w:highlight w:val="none"/>
                <w:lang w:val="en-US" w:eastAsia="zh-CN" w:bidi="ar-SA"/>
              </w:rPr>
              <w:t>2、≥48个10/100/1000Base-T以太网端口；</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楷体"/>
                <w:kern w:val="0"/>
                <w:sz w:val="18"/>
                <w:szCs w:val="18"/>
                <w:highlight w:val="none"/>
                <w:lang w:val="en-US" w:eastAsia="zh-CN" w:bidi="ar-SA"/>
              </w:rPr>
              <w:t>3、上行支持4x10GE SFP+固定端口，4x10GE SFP+插卡；</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楷体"/>
                <w:kern w:val="0"/>
                <w:sz w:val="18"/>
                <w:szCs w:val="18"/>
                <w:highlight w:val="none"/>
                <w:lang w:val="en-US" w:eastAsia="zh-CN" w:bidi="ar-SA"/>
              </w:rPr>
              <w:t>4、内置1个AC电源，1+1电源备份，支持AC电源；</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楷体"/>
                <w:kern w:val="0"/>
                <w:sz w:val="18"/>
                <w:szCs w:val="18"/>
                <w:highlight w:val="none"/>
                <w:lang w:val="en-US" w:eastAsia="zh-CN" w:bidi="ar-SA"/>
              </w:rPr>
              <w:t>5、支持 PoE+，PoE；</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楷体"/>
                <w:kern w:val="0"/>
                <w:sz w:val="18"/>
                <w:szCs w:val="18"/>
                <w:highlight w:val="none"/>
                <w:lang w:val="en-US" w:eastAsia="zh-CN" w:bidi="ar-SA"/>
              </w:rPr>
              <w:t>6、包转发率：≥252Mpps；</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楷体"/>
                <w:kern w:val="0"/>
                <w:sz w:val="18"/>
                <w:szCs w:val="18"/>
                <w:highlight w:val="none"/>
                <w:lang w:val="en-US" w:eastAsia="zh-CN" w:bidi="ar-SA"/>
              </w:rPr>
              <w:t>7、交换容量：≥598Gbps。</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台</w:t>
            </w:r>
          </w:p>
        </w:tc>
        <w:tc>
          <w:tcPr>
            <w:tcW w:w="290"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w:t>
            </w:r>
          </w:p>
        </w:tc>
        <w:tc>
          <w:tcPr>
            <w:tcW w:w="682"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思科、华为、华三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14</w:t>
            </w:r>
          </w:p>
        </w:tc>
        <w:tc>
          <w:tcPr>
            <w:tcW w:w="568"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无线控制触摸屏</w:t>
            </w:r>
          </w:p>
        </w:tc>
        <w:tc>
          <w:tcPr>
            <w:tcW w:w="2927" w:type="pct"/>
            <w:tcBorders>
              <w:top w:val="nil"/>
              <w:left w:val="nil"/>
              <w:bottom w:val="single" w:color="auto" w:sz="4" w:space="0"/>
              <w:right w:val="single" w:color="auto" w:sz="4" w:space="0"/>
            </w:tcBorders>
            <w:noWrap w:val="0"/>
            <w:vAlign w:val="center"/>
          </w:tcPr>
          <w:p>
            <w:pPr>
              <w:widowControl/>
              <w:jc w:val="left"/>
              <w:rPr>
                <w:rFonts w:hint="eastAsia" w:ascii="微软雅黑" w:hAnsi="微软雅黑" w:eastAsia="微软雅黑" w:cs="宋体"/>
                <w:color w:val="000000"/>
                <w:kern w:val="0"/>
                <w:sz w:val="20"/>
                <w:szCs w:val="20"/>
                <w:highlight w:val="none"/>
              </w:rPr>
            </w:pPr>
            <w:r>
              <w:rPr>
                <w:rFonts w:hint="eastAsia" w:ascii="宋体" w:hAnsi="宋体" w:eastAsia="宋体" w:cs="楷体"/>
                <w:kern w:val="0"/>
                <w:sz w:val="18"/>
                <w:szCs w:val="18"/>
                <w:highlight w:val="none"/>
                <w:lang w:val="en-US" w:eastAsia="zh-CN" w:bidi="ar-SA"/>
              </w:rPr>
              <w:t xml:space="preserve">1.屏幕尺寸：9.7英寸 </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楷体"/>
                <w:kern w:val="0"/>
                <w:sz w:val="18"/>
                <w:szCs w:val="18"/>
                <w:highlight w:val="none"/>
                <w:lang w:val="en-US" w:eastAsia="zh-CN" w:bidi="ar-SA"/>
              </w:rPr>
              <w:t>2.操作系统：iOS 10</w:t>
            </w:r>
            <w:r>
              <w:rPr>
                <w:rFonts w:hint="eastAsia" w:hAnsi="宋体" w:eastAsia="宋体" w:cs="楷体"/>
                <w:kern w:val="0"/>
                <w:sz w:val="18"/>
                <w:szCs w:val="18"/>
                <w:highlight w:val="none"/>
                <w:lang w:val="en-US" w:eastAsia="zh-CN" w:bidi="ar-SA"/>
              </w:rPr>
              <w:t>、win7、安卓8以上</w:t>
            </w:r>
            <w:r>
              <w:rPr>
                <w:rFonts w:hint="eastAsia" w:ascii="宋体" w:hAnsi="宋体" w:eastAsia="宋体" w:cs="楷体"/>
                <w:kern w:val="0"/>
                <w:sz w:val="18"/>
                <w:szCs w:val="18"/>
                <w:highlight w:val="none"/>
                <w:lang w:val="en-US" w:eastAsia="zh-CN" w:bidi="ar-SA"/>
              </w:rPr>
              <w:t xml:space="preserve"> </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楷体"/>
                <w:kern w:val="0"/>
                <w:sz w:val="18"/>
                <w:szCs w:val="18"/>
                <w:highlight w:val="none"/>
                <w:lang w:val="en-US" w:eastAsia="zh-CN" w:bidi="ar-SA"/>
              </w:rPr>
              <w:t xml:space="preserve">3.存储容量：32GB </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楷体"/>
                <w:kern w:val="0"/>
                <w:sz w:val="18"/>
                <w:szCs w:val="18"/>
                <w:highlight w:val="none"/>
                <w:lang w:val="en-US" w:eastAsia="zh-CN" w:bidi="ar-SA"/>
              </w:rPr>
              <w:t xml:space="preserve">4.屏幕分辨率：2048x1536 </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台</w:t>
            </w:r>
          </w:p>
        </w:tc>
        <w:tc>
          <w:tcPr>
            <w:tcW w:w="290"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w:t>
            </w:r>
          </w:p>
        </w:tc>
        <w:tc>
          <w:tcPr>
            <w:tcW w:w="682"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三星、苹果、华为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bCs/>
                <w:color w:val="000000"/>
                <w:kern w:val="0"/>
                <w:sz w:val="20"/>
                <w:szCs w:val="20"/>
                <w:highlight w:val="none"/>
              </w:rPr>
            </w:pPr>
            <w:r>
              <w:rPr>
                <w:rFonts w:hint="eastAsia" w:ascii="宋体" w:hAnsi="宋体" w:eastAsia="宋体" w:cs="宋体"/>
                <w:b/>
                <w:bCs/>
                <w:color w:val="000000"/>
                <w:kern w:val="0"/>
                <w:sz w:val="20"/>
                <w:szCs w:val="20"/>
                <w:highlight w:val="none"/>
              </w:rPr>
              <w:t>F</w:t>
            </w:r>
          </w:p>
        </w:tc>
        <w:tc>
          <w:tcPr>
            <w:tcW w:w="568"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kern w:val="0"/>
                <w:sz w:val="20"/>
                <w:szCs w:val="20"/>
                <w:highlight w:val="none"/>
              </w:rPr>
            </w:pPr>
            <w:r>
              <w:rPr>
                <w:rFonts w:hint="eastAsia" w:ascii="宋体" w:hAnsi="宋体" w:eastAsia="宋体" w:cs="宋体"/>
                <w:b/>
                <w:bCs/>
                <w:color w:val="000000"/>
                <w:kern w:val="0"/>
                <w:sz w:val="20"/>
                <w:szCs w:val="20"/>
                <w:highlight w:val="none"/>
              </w:rPr>
              <w:t>UPS系统</w:t>
            </w:r>
          </w:p>
        </w:tc>
        <w:tc>
          <w:tcPr>
            <w:tcW w:w="2927"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w:t>
            </w:r>
          </w:p>
        </w:tc>
        <w:tc>
          <w:tcPr>
            <w:tcW w:w="293"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w:t>
            </w:r>
          </w:p>
        </w:tc>
        <w:tc>
          <w:tcPr>
            <w:tcW w:w="290"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w:t>
            </w:r>
          </w:p>
        </w:tc>
        <w:tc>
          <w:tcPr>
            <w:tcW w:w="682"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w:t>
            </w:r>
          </w:p>
        </w:tc>
        <w:tc>
          <w:tcPr>
            <w:tcW w:w="568"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UPS主机</w:t>
            </w:r>
          </w:p>
        </w:tc>
        <w:tc>
          <w:tcPr>
            <w:tcW w:w="2927" w:type="pct"/>
            <w:tcBorders>
              <w:top w:val="nil"/>
              <w:left w:val="nil"/>
              <w:bottom w:val="single" w:color="auto" w:sz="4" w:space="0"/>
              <w:right w:val="single" w:color="auto" w:sz="4" w:space="0"/>
            </w:tcBorders>
            <w:noWrap w:val="0"/>
            <w:vAlign w:val="center"/>
          </w:tcPr>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1</w:t>
            </w:r>
            <w:r>
              <w:rPr>
                <w:rFonts w:hint="eastAsia" w:ascii="宋体" w:hAnsi="宋体" w:cs="楷体"/>
                <w:kern w:val="0"/>
                <w:sz w:val="18"/>
                <w:szCs w:val="18"/>
                <w:highlight w:val="none"/>
                <w:lang w:val="en-US" w:eastAsia="zh-CN" w:bidi="ar-SA"/>
              </w:rPr>
              <w:t>、</w:t>
            </w:r>
            <w:r>
              <w:rPr>
                <w:rFonts w:hint="eastAsia" w:ascii="宋体" w:hAnsi="宋体" w:eastAsia="宋体" w:cs="楷体"/>
                <w:kern w:val="0"/>
                <w:sz w:val="18"/>
                <w:szCs w:val="18"/>
                <w:highlight w:val="none"/>
                <w:lang w:val="en-US" w:eastAsia="zh-CN" w:bidi="ar-SA"/>
              </w:rPr>
              <w:t>纯在线式双变换UPS产品；UPS主机容量40kVA，根据用户现场情况，可选择采用立式安装或嵌入19英寸标准机柜的机架式安装，机架式安装时高度≤3U，提供制造厂商盖章的设备彩页证明材料证明。</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2.兼容可立可卧安装，面板LCD重力感应自动切换横屏或竖屏显示 (可手动或自动模式) 。提供制造厂商盖章的设备彩页证明材料证明。</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3</w:t>
            </w:r>
            <w:r>
              <w:rPr>
                <w:rFonts w:hint="eastAsia" w:ascii="宋体" w:hAnsi="宋体" w:cs="楷体"/>
                <w:kern w:val="0"/>
                <w:sz w:val="18"/>
                <w:szCs w:val="18"/>
                <w:highlight w:val="none"/>
                <w:lang w:val="en-US" w:eastAsia="zh-CN" w:bidi="ar-SA"/>
              </w:rPr>
              <w:t>、</w:t>
            </w:r>
            <w:r>
              <w:rPr>
                <w:rFonts w:hint="eastAsia" w:ascii="宋体" w:hAnsi="宋体" w:eastAsia="宋体" w:cs="楷体"/>
                <w:kern w:val="0"/>
                <w:sz w:val="18"/>
                <w:szCs w:val="18"/>
                <w:highlight w:val="none"/>
                <w:lang w:val="en-US" w:eastAsia="zh-CN" w:bidi="ar-SA"/>
              </w:rPr>
              <w:t>为了适应用户现场配电，UPS主机要求支持三进三出、三进单出，该功能需要现场验证，投标时要求提供制造厂商盖章的设备彩页证明材料。以及实现各种工作模式的应用图片、设置和接线的详细说明佐证。</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4</w:t>
            </w:r>
            <w:r>
              <w:rPr>
                <w:rFonts w:hint="eastAsia" w:ascii="宋体" w:hAnsi="宋体" w:cs="楷体"/>
                <w:kern w:val="0"/>
                <w:sz w:val="18"/>
                <w:szCs w:val="18"/>
                <w:highlight w:val="none"/>
                <w:lang w:val="en-US" w:eastAsia="zh-CN" w:bidi="ar-SA"/>
              </w:rPr>
              <w:t>、</w:t>
            </w:r>
            <w:r>
              <w:rPr>
                <w:rFonts w:hint="eastAsia" w:ascii="宋体" w:hAnsi="宋体" w:eastAsia="宋体" w:cs="楷体"/>
                <w:kern w:val="0"/>
                <w:sz w:val="18"/>
                <w:szCs w:val="18"/>
                <w:highlight w:val="none"/>
                <w:lang w:val="en-US" w:eastAsia="zh-CN" w:bidi="ar-SA"/>
              </w:rPr>
              <w:t xml:space="preserve"> UPS主机尺寸（机架安装时）应满足：宽度≤440mm，深度≤700mm，高度≤130mm。</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5</w:t>
            </w:r>
            <w:r>
              <w:rPr>
                <w:rFonts w:hint="eastAsia" w:ascii="宋体" w:hAnsi="宋体" w:cs="楷体"/>
                <w:kern w:val="0"/>
                <w:sz w:val="18"/>
                <w:szCs w:val="18"/>
                <w:highlight w:val="none"/>
                <w:lang w:val="en-US" w:eastAsia="zh-CN" w:bidi="ar-SA"/>
              </w:rPr>
              <w:t>、</w:t>
            </w:r>
            <w:r>
              <w:rPr>
                <w:rFonts w:hint="eastAsia" w:ascii="宋体" w:hAnsi="宋体" w:eastAsia="宋体" w:cs="楷体"/>
                <w:kern w:val="0"/>
                <w:sz w:val="18"/>
                <w:szCs w:val="18"/>
                <w:highlight w:val="none"/>
                <w:lang w:val="en-US" w:eastAsia="zh-CN" w:bidi="ar-SA"/>
              </w:rPr>
              <w:t>具有LCD+LED指示的操作界面，实时记录工作状态和运行信息，管理更加直观；操作界面要求配备手动双键开关机按钮，防止误操作发生。要求提供生产厂家盖章的显示面板实物照片证明材料 。</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6</w:t>
            </w:r>
            <w:r>
              <w:rPr>
                <w:rFonts w:hint="eastAsia" w:ascii="宋体" w:hAnsi="宋体" w:cs="楷体"/>
                <w:kern w:val="0"/>
                <w:sz w:val="18"/>
                <w:szCs w:val="18"/>
                <w:highlight w:val="none"/>
                <w:lang w:val="en-US" w:eastAsia="zh-CN" w:bidi="ar-SA"/>
              </w:rPr>
              <w:t>、</w:t>
            </w:r>
            <w:r>
              <w:rPr>
                <w:rFonts w:hint="eastAsia" w:ascii="宋体" w:hAnsi="宋体" w:eastAsia="宋体" w:cs="楷体"/>
                <w:kern w:val="0"/>
                <w:sz w:val="18"/>
                <w:szCs w:val="18"/>
                <w:highlight w:val="none"/>
                <w:lang w:val="en-US" w:eastAsia="zh-CN" w:bidi="ar-SA"/>
              </w:rPr>
              <w:t xml:space="preserve">为了满足现场配电要求，便于设备实现不断电的前提下进行主机维护更换，主机和配电采取分离设计，UPS主机可采用搭载市电、旁路、输出与维护旁路四个断路器的配电箱，且配电箱应具有示意配电开关电气关系，风格与主机保持一致。投标方需提供所投产品生产厂家盖章的实物照片证明。 </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7</w:t>
            </w:r>
            <w:r>
              <w:rPr>
                <w:rFonts w:hint="eastAsia" w:ascii="宋体" w:hAnsi="宋体" w:cs="楷体"/>
                <w:kern w:val="0"/>
                <w:sz w:val="18"/>
                <w:szCs w:val="18"/>
                <w:highlight w:val="none"/>
                <w:lang w:val="en-US" w:eastAsia="zh-CN" w:bidi="ar-SA"/>
              </w:rPr>
              <w:t>、</w:t>
            </w:r>
            <w:r>
              <w:rPr>
                <w:rFonts w:hint="eastAsia" w:ascii="宋体" w:hAnsi="宋体" w:eastAsia="宋体" w:cs="楷体"/>
                <w:kern w:val="0"/>
                <w:sz w:val="18"/>
                <w:szCs w:val="18"/>
                <w:highlight w:val="none"/>
                <w:lang w:val="en-US" w:eastAsia="zh-CN" w:bidi="ar-SA"/>
              </w:rPr>
              <w:t>数字化并机：并机通讯接口板采用SLOT插槽设计，单机和并机可灵活切换，方便备库存，支持并机单用、扩容、冗余、双母线等多种工作制式；支持用户无须拆机现场单机升级成并机。</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9.电池直流电压输入范围：单体12V电池支持±12～±20节（即±144V～±240V连续可调），现场配置灵活，要求提供生产厂家盖章的设备彩页证明材料。</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10. 具备大充电电流，设置值1A~20A，充电电流20A满载不降额，缩短充电时间，要求提供生产厂家盖章的设备彩页证明材料。</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11.安全保护：输入浪涌保护，火线对地具有保护措施，能承受更高的浪涌尖峰电压，同时，电池应具备防反接保护。投标方需提供所投产品生产厂家盖章的实物照片证明。</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b/>
                <w:bCs/>
                <w:kern w:val="0"/>
                <w:sz w:val="18"/>
                <w:szCs w:val="18"/>
                <w:highlight w:val="none"/>
                <w:lang w:val="en-US" w:eastAsia="zh-CN" w:bidi="ar-SA"/>
              </w:rPr>
              <w:t>（以上参数项除特殊备注的项要求资料外，其余参数需提供佐证材料复印件加盖厂家公章逐项证明符合性，佐证材料不限于品牌官方网站介绍、品牌官方印刷的产品彩页、设备检测报告材料、产品厂家技术白皮书等，未提供视为负偏离项）</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台</w:t>
            </w:r>
          </w:p>
        </w:tc>
        <w:tc>
          <w:tcPr>
            <w:tcW w:w="290"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w:t>
            </w:r>
          </w:p>
        </w:tc>
        <w:tc>
          <w:tcPr>
            <w:tcW w:w="682"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施耐德、科华、先控 、风帆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2</w:t>
            </w:r>
          </w:p>
        </w:tc>
        <w:tc>
          <w:tcPr>
            <w:tcW w:w="568"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电池</w:t>
            </w:r>
          </w:p>
        </w:tc>
        <w:tc>
          <w:tcPr>
            <w:tcW w:w="2927" w:type="pct"/>
            <w:tcBorders>
              <w:top w:val="nil"/>
              <w:left w:val="nil"/>
              <w:bottom w:val="single" w:color="auto" w:sz="4" w:space="0"/>
              <w:right w:val="single" w:color="auto" w:sz="4" w:space="0"/>
            </w:tcBorders>
            <w:noWrap w:val="0"/>
            <w:vAlign w:val="center"/>
          </w:tcPr>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1、12V100AH,单节重量不</w:t>
            </w:r>
            <w:r>
              <w:rPr>
                <w:rFonts w:hint="eastAsia" w:ascii="宋体" w:hAnsi="宋体" w:cs="楷体"/>
                <w:kern w:val="0"/>
                <w:sz w:val="18"/>
                <w:szCs w:val="18"/>
                <w:highlight w:val="none"/>
                <w:lang w:val="en-US" w:eastAsia="zh-CN" w:bidi="ar-SA"/>
              </w:rPr>
              <w:t>高</w:t>
            </w:r>
            <w:r>
              <w:rPr>
                <w:rFonts w:hint="eastAsia" w:ascii="宋体" w:hAnsi="宋体" w:eastAsia="宋体" w:cs="楷体"/>
                <w:kern w:val="0"/>
                <w:sz w:val="18"/>
                <w:szCs w:val="18"/>
                <w:highlight w:val="none"/>
                <w:lang w:val="en-US" w:eastAsia="zh-CN" w:bidi="ar-SA"/>
              </w:rPr>
              <w:t>于28KG；</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2、80%DOD寿命循环次数不低于640次；要求出具同系列第三方检测报告</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eastAsia="宋体" w:cs="楷体"/>
                <w:kern w:val="0"/>
                <w:sz w:val="18"/>
                <w:szCs w:val="18"/>
                <w:highlight w:val="none"/>
                <w:lang w:val="en-US" w:eastAsia="zh-CN" w:bidi="ar-SA"/>
              </w:rPr>
              <w:t>3、外壳材料:ABS，符合94V0级阻燃标准要求；蓄电池壳体要求有国家级实验室出具针对本项目的的权威检测报告；</w:t>
            </w:r>
          </w:p>
          <w:p>
            <w:pPr>
              <w:pStyle w:val="9"/>
              <w:numPr>
                <w:ilvl w:val="0"/>
                <w:numId w:val="0"/>
              </w:numPr>
              <w:ind w:leftChars="0"/>
              <w:rPr>
                <w:rFonts w:hint="eastAsia" w:ascii="宋体" w:hAnsi="宋体" w:eastAsia="宋体" w:cs="楷体"/>
                <w:kern w:val="0"/>
                <w:sz w:val="18"/>
                <w:szCs w:val="18"/>
                <w:highlight w:val="none"/>
                <w:lang w:val="en-US" w:eastAsia="zh-CN" w:bidi="ar-SA"/>
              </w:rPr>
            </w:pPr>
            <w:r>
              <w:rPr>
                <w:rFonts w:hint="eastAsia" w:ascii="宋体" w:hAnsi="宋体" w:cs="楷体"/>
                <w:kern w:val="0"/>
                <w:sz w:val="18"/>
                <w:szCs w:val="18"/>
                <w:highlight w:val="none"/>
                <w:lang w:val="en-US" w:eastAsia="zh-CN" w:bidi="ar-SA"/>
              </w:rPr>
              <w:t>4、</w:t>
            </w:r>
            <w:r>
              <w:rPr>
                <w:rFonts w:hint="eastAsia" w:ascii="宋体" w:hAnsi="宋体" w:eastAsia="宋体" w:cs="楷体"/>
                <w:kern w:val="0"/>
                <w:sz w:val="18"/>
                <w:szCs w:val="18"/>
                <w:highlight w:val="none"/>
                <w:lang w:val="en-US" w:eastAsia="zh-CN" w:bidi="ar-SA"/>
              </w:rPr>
              <w:t>要求蓄电池密封反应效率不低于97.5%；静置28天后电池容量保存率不低于98.5%;要求出具同系列第三方检测报告；</w:t>
            </w:r>
          </w:p>
          <w:p>
            <w:pPr>
              <w:pStyle w:val="9"/>
              <w:numPr>
                <w:ilvl w:val="0"/>
                <w:numId w:val="0"/>
              </w:numPr>
              <w:ind w:leftChars="0"/>
              <w:rPr>
                <w:rFonts w:hint="eastAsia" w:ascii="微软雅黑" w:hAnsi="微软雅黑" w:eastAsia="微软雅黑" w:cs="宋体"/>
                <w:color w:val="000000"/>
                <w:kern w:val="0"/>
                <w:sz w:val="20"/>
                <w:szCs w:val="20"/>
                <w:highlight w:val="none"/>
              </w:rPr>
            </w:pPr>
            <w:r>
              <w:rPr>
                <w:rFonts w:hint="eastAsia" w:ascii="宋体" w:hAnsi="宋体" w:eastAsia="宋体" w:cs="楷体"/>
                <w:b/>
                <w:bCs/>
                <w:kern w:val="0"/>
                <w:sz w:val="18"/>
                <w:szCs w:val="18"/>
                <w:highlight w:val="none"/>
                <w:lang w:val="en-US" w:eastAsia="zh-CN" w:bidi="ar-SA"/>
              </w:rPr>
              <w:t>（以上参数项除特殊备注的项要求资料外，其余参数需提供佐证材料复印件加盖厂家公章逐项证明符合性，佐证材料不限于品牌官方网站介绍、品牌官方印刷的产品彩页、设备检测报告材料、产品厂家技术白皮书等，未提供视为负偏离项）</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节</w:t>
            </w:r>
          </w:p>
        </w:tc>
        <w:tc>
          <w:tcPr>
            <w:tcW w:w="290"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96</w:t>
            </w:r>
          </w:p>
        </w:tc>
        <w:tc>
          <w:tcPr>
            <w:tcW w:w="682"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施耐德、科华、先控 、风帆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3</w:t>
            </w:r>
          </w:p>
        </w:tc>
        <w:tc>
          <w:tcPr>
            <w:tcW w:w="568"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电池柜</w:t>
            </w:r>
          </w:p>
        </w:tc>
        <w:tc>
          <w:tcPr>
            <w:tcW w:w="2927" w:type="pct"/>
            <w:tcBorders>
              <w:top w:val="nil"/>
              <w:left w:val="nil"/>
              <w:bottom w:val="single" w:color="auto" w:sz="4" w:space="0"/>
              <w:right w:val="single" w:color="auto" w:sz="4" w:space="0"/>
            </w:tcBorders>
            <w:noWrap w:val="0"/>
            <w:vAlign w:val="center"/>
          </w:tcPr>
          <w:p>
            <w:pPr>
              <w:widowControl/>
              <w:jc w:val="left"/>
              <w:rPr>
                <w:rFonts w:hint="eastAsia" w:ascii="微软雅黑" w:hAnsi="微软雅黑" w:eastAsia="微软雅黑" w:cs="宋体"/>
                <w:color w:val="000000"/>
                <w:kern w:val="0"/>
                <w:sz w:val="20"/>
                <w:szCs w:val="20"/>
                <w:highlight w:val="none"/>
                <w:lang w:eastAsia="zh-CN"/>
              </w:rPr>
            </w:pPr>
            <w:r>
              <w:rPr>
                <w:rFonts w:hint="eastAsia" w:ascii="微软雅黑" w:hAnsi="微软雅黑" w:eastAsia="微软雅黑" w:cs="宋体"/>
                <w:color w:val="000000"/>
                <w:kern w:val="0"/>
                <w:sz w:val="20"/>
                <w:szCs w:val="20"/>
                <w:highlight w:val="none"/>
              </w:rPr>
              <w:t>　</w:t>
            </w:r>
            <w:r>
              <w:rPr>
                <w:rFonts w:hint="eastAsia" w:ascii="微软雅黑" w:hAnsi="微软雅黑" w:eastAsia="微软雅黑" w:cs="宋体"/>
                <w:color w:val="000000"/>
                <w:kern w:val="0"/>
                <w:sz w:val="20"/>
                <w:szCs w:val="20"/>
                <w:highlight w:val="none"/>
                <w:lang w:eastAsia="zh-CN"/>
              </w:rPr>
              <w:t>配套</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个　</w:t>
            </w:r>
          </w:p>
        </w:tc>
        <w:tc>
          <w:tcPr>
            <w:tcW w:w="290"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3</w:t>
            </w:r>
          </w:p>
        </w:tc>
        <w:tc>
          <w:tcPr>
            <w:tcW w:w="682"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lang w:eastAsia="zh-CN"/>
              </w:rPr>
            </w:pPr>
            <w:r>
              <w:rPr>
                <w:rFonts w:hint="eastAsia" w:hAnsi="宋体" w:eastAsia="宋体" w:cs="宋体"/>
                <w:color w:val="000000"/>
                <w:kern w:val="0"/>
                <w:sz w:val="20"/>
                <w:szCs w:val="20"/>
                <w:highlight w:val="none"/>
                <w:lang w:eastAsia="zh-CN"/>
              </w:rPr>
              <w:t>国产</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4</w:t>
            </w:r>
          </w:p>
        </w:tc>
        <w:tc>
          <w:tcPr>
            <w:tcW w:w="568"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电池连接线及电池柜连接线</w:t>
            </w:r>
          </w:p>
        </w:tc>
        <w:tc>
          <w:tcPr>
            <w:tcW w:w="2927" w:type="pct"/>
            <w:tcBorders>
              <w:top w:val="nil"/>
              <w:left w:val="nil"/>
              <w:bottom w:val="single" w:color="auto" w:sz="4" w:space="0"/>
              <w:right w:val="single" w:color="auto" w:sz="4" w:space="0"/>
            </w:tcBorders>
            <w:noWrap w:val="0"/>
            <w:vAlign w:val="center"/>
          </w:tcPr>
          <w:p>
            <w:pPr>
              <w:pStyle w:val="4"/>
              <w:widowControl w:val="0"/>
              <w:numPr>
                <w:ilvl w:val="0"/>
                <w:numId w:val="0"/>
              </w:numPr>
              <w:adjustRightInd w:val="0"/>
              <w:spacing w:after="120" w:line="360" w:lineRule="auto"/>
              <w:jc w:val="both"/>
              <w:textAlignment w:val="baseline"/>
              <w:rPr>
                <w:rFonts w:hint="eastAsia" w:eastAsia="仿宋"/>
                <w:highlight w:val="none"/>
                <w:lang w:eastAsia="zh-CN"/>
              </w:rPr>
            </w:pPr>
            <w:r>
              <w:rPr>
                <w:rFonts w:hint="eastAsia"/>
                <w:highlight w:val="none"/>
              </w:rPr>
              <w:t>　</w:t>
            </w:r>
            <w:r>
              <w:rPr>
                <w:rFonts w:hint="eastAsia" w:ascii="微软雅黑" w:hAnsi="微软雅黑" w:eastAsia="微软雅黑" w:cs="宋体"/>
                <w:color w:val="000000"/>
                <w:kern w:val="0"/>
                <w:sz w:val="20"/>
                <w:szCs w:val="20"/>
                <w:highlight w:val="none"/>
                <w:lang w:val="en-US" w:eastAsia="zh-CN" w:bidi="ar-SA"/>
              </w:rPr>
              <w:t>配套</w:t>
            </w:r>
          </w:p>
          <w:p>
            <w:pPr>
              <w:pStyle w:val="4"/>
              <w:widowControl w:val="0"/>
              <w:numPr>
                <w:ilvl w:val="0"/>
                <w:numId w:val="0"/>
              </w:numPr>
              <w:adjustRightInd w:val="0"/>
              <w:spacing w:after="120" w:line="360" w:lineRule="auto"/>
              <w:jc w:val="both"/>
              <w:textAlignment w:val="baseline"/>
              <w:rPr>
                <w:rFonts w:hint="eastAsia"/>
                <w:highlight w:val="none"/>
              </w:rPr>
            </w:pP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批</w:t>
            </w:r>
          </w:p>
        </w:tc>
        <w:tc>
          <w:tcPr>
            <w:tcW w:w="290"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w:t>
            </w:r>
          </w:p>
        </w:tc>
        <w:tc>
          <w:tcPr>
            <w:tcW w:w="682"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lang w:eastAsia="zh-CN"/>
              </w:rPr>
            </w:pPr>
            <w:r>
              <w:rPr>
                <w:rFonts w:hint="eastAsia" w:hAnsi="宋体" w:eastAsia="宋体" w:cs="宋体"/>
                <w:color w:val="000000"/>
                <w:kern w:val="0"/>
                <w:sz w:val="20"/>
                <w:szCs w:val="20"/>
                <w:highlight w:val="none"/>
                <w:lang w:eastAsia="zh-CN"/>
              </w:rPr>
              <w:t>国产</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bCs/>
                <w:color w:val="000000"/>
                <w:kern w:val="0"/>
                <w:sz w:val="20"/>
                <w:szCs w:val="20"/>
                <w:highlight w:val="none"/>
              </w:rPr>
            </w:pPr>
            <w:r>
              <w:rPr>
                <w:rFonts w:hint="eastAsia" w:ascii="宋体" w:hAnsi="宋体" w:eastAsia="宋体" w:cs="宋体"/>
                <w:b/>
                <w:bCs/>
                <w:color w:val="000000"/>
                <w:kern w:val="0"/>
                <w:sz w:val="20"/>
                <w:szCs w:val="20"/>
                <w:highlight w:val="none"/>
              </w:rPr>
              <w:t>G</w:t>
            </w:r>
          </w:p>
        </w:tc>
        <w:tc>
          <w:tcPr>
            <w:tcW w:w="568"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kern w:val="0"/>
                <w:sz w:val="20"/>
                <w:szCs w:val="20"/>
                <w:highlight w:val="none"/>
              </w:rPr>
            </w:pPr>
            <w:r>
              <w:rPr>
                <w:rFonts w:hint="eastAsia" w:ascii="宋体" w:hAnsi="宋体" w:eastAsia="宋体" w:cs="宋体"/>
                <w:b/>
                <w:bCs/>
                <w:color w:val="000000"/>
                <w:kern w:val="0"/>
                <w:sz w:val="20"/>
                <w:szCs w:val="20"/>
                <w:highlight w:val="none"/>
              </w:rPr>
              <w:t>其他设备</w:t>
            </w:r>
          </w:p>
        </w:tc>
        <w:tc>
          <w:tcPr>
            <w:tcW w:w="2927"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w:t>
            </w:r>
          </w:p>
        </w:tc>
        <w:tc>
          <w:tcPr>
            <w:tcW w:w="293"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w:t>
            </w:r>
          </w:p>
        </w:tc>
        <w:tc>
          <w:tcPr>
            <w:tcW w:w="290"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w:t>
            </w:r>
          </w:p>
        </w:tc>
        <w:tc>
          <w:tcPr>
            <w:tcW w:w="682"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w:t>
            </w:r>
          </w:p>
        </w:tc>
        <w:tc>
          <w:tcPr>
            <w:tcW w:w="568"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控制电脑</w:t>
            </w:r>
          </w:p>
        </w:tc>
        <w:tc>
          <w:tcPr>
            <w:tcW w:w="2927" w:type="pct"/>
            <w:tcBorders>
              <w:top w:val="nil"/>
              <w:left w:val="nil"/>
              <w:bottom w:val="single" w:color="auto" w:sz="4" w:space="0"/>
              <w:right w:val="single" w:color="auto" w:sz="4" w:space="0"/>
            </w:tcBorders>
            <w:noWrap w:val="0"/>
            <w:vAlign w:val="center"/>
          </w:tcPr>
          <w:p>
            <w:pPr>
              <w:widowControl/>
              <w:jc w:val="left"/>
              <w:rPr>
                <w:rFonts w:hint="eastAsia" w:ascii="微软雅黑" w:hAnsi="微软雅黑" w:eastAsia="微软雅黑" w:cs="宋体"/>
                <w:color w:val="000000"/>
                <w:kern w:val="0"/>
                <w:sz w:val="20"/>
                <w:szCs w:val="20"/>
                <w:highlight w:val="none"/>
              </w:rPr>
            </w:pPr>
            <w:r>
              <w:rPr>
                <w:rFonts w:hint="eastAsia" w:ascii="宋体" w:hAnsi="宋体" w:eastAsia="宋体" w:cs="楷体"/>
                <w:kern w:val="0"/>
                <w:sz w:val="18"/>
                <w:szCs w:val="18"/>
                <w:highlight w:val="none"/>
                <w:lang w:val="en-US" w:eastAsia="zh-CN" w:bidi="ar-SA"/>
              </w:rPr>
              <w:t>处理器 Intel 酷睿 i5 4590; GeFore 840A 2G 显卡;</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楷体"/>
                <w:kern w:val="0"/>
                <w:sz w:val="18"/>
                <w:szCs w:val="18"/>
                <w:highlight w:val="none"/>
                <w:lang w:val="en-US" w:eastAsia="zh-CN" w:bidi="ar-SA"/>
              </w:rPr>
              <w:t>8G DDR3 内存;</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楷体"/>
                <w:kern w:val="0"/>
                <w:sz w:val="18"/>
                <w:szCs w:val="18"/>
                <w:highlight w:val="none"/>
                <w:lang w:val="en-US" w:eastAsia="zh-CN" w:bidi="ar-SA"/>
              </w:rPr>
              <w:t>1TB SATA 硬盘;</w:t>
            </w:r>
            <w:r>
              <w:rPr>
                <w:rFonts w:hint="eastAsia" w:ascii="宋体" w:hAnsi="宋体" w:eastAsia="宋体" w:cs="楷体"/>
                <w:kern w:val="0"/>
                <w:sz w:val="18"/>
                <w:szCs w:val="18"/>
                <w:highlight w:val="none"/>
                <w:lang w:val="en-US" w:eastAsia="zh-CN" w:bidi="ar-SA"/>
              </w:rPr>
              <w:br w:type="textWrapping"/>
            </w:r>
            <w:r>
              <w:rPr>
                <w:rFonts w:hint="eastAsia" w:ascii="宋体" w:hAnsi="宋体" w:eastAsia="宋体" w:cs="楷体"/>
                <w:kern w:val="0"/>
                <w:sz w:val="18"/>
                <w:szCs w:val="18"/>
                <w:highlight w:val="none"/>
                <w:lang w:val="en-US" w:eastAsia="zh-CN" w:bidi="ar-SA"/>
              </w:rPr>
              <w:t>19" LED 显示屏(1280×900); Windows10 中文旗舰版。</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台</w:t>
            </w:r>
          </w:p>
        </w:tc>
        <w:tc>
          <w:tcPr>
            <w:tcW w:w="290"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6</w:t>
            </w:r>
          </w:p>
        </w:tc>
        <w:tc>
          <w:tcPr>
            <w:tcW w:w="682"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hAnsi="宋体" w:eastAsia="宋体" w:cs="宋体"/>
                <w:color w:val="000000"/>
                <w:kern w:val="0"/>
                <w:sz w:val="20"/>
                <w:szCs w:val="20"/>
                <w:highlight w:val="none"/>
                <w:lang w:eastAsia="zh-CN"/>
              </w:rPr>
              <w:t>联想、</w:t>
            </w:r>
            <w:r>
              <w:rPr>
                <w:rFonts w:hint="eastAsia" w:hAnsi="宋体" w:eastAsia="宋体" w:cs="宋体"/>
                <w:color w:val="000000"/>
                <w:kern w:val="0"/>
                <w:sz w:val="20"/>
                <w:szCs w:val="20"/>
                <w:highlight w:val="none"/>
                <w:lang w:val="en-US" w:eastAsia="zh-CN"/>
              </w:rPr>
              <w:t>DELL、HP</w:t>
            </w:r>
            <w:r>
              <w:rPr>
                <w:rFonts w:hint="eastAsia" w:ascii="宋体" w:hAnsi="宋体" w:eastAsia="宋体" w:cs="宋体"/>
                <w:color w:val="000000"/>
                <w:kern w:val="0"/>
                <w:sz w:val="20"/>
                <w:szCs w:val="20"/>
                <w:highlight w:val="none"/>
              </w:rPr>
              <w:t>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2</w:t>
            </w:r>
          </w:p>
        </w:tc>
        <w:tc>
          <w:tcPr>
            <w:tcW w:w="568"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三合一彩色打印机</w:t>
            </w:r>
          </w:p>
        </w:tc>
        <w:tc>
          <w:tcPr>
            <w:tcW w:w="2927" w:type="pct"/>
            <w:tcBorders>
              <w:top w:val="nil"/>
              <w:left w:val="nil"/>
              <w:bottom w:val="single" w:color="auto" w:sz="4" w:space="0"/>
              <w:right w:val="single" w:color="auto" w:sz="4" w:space="0"/>
            </w:tcBorders>
            <w:noWrap w:val="0"/>
            <w:vAlign w:val="center"/>
          </w:tcPr>
          <w:p>
            <w:pPr>
              <w:widowControl/>
              <w:jc w:val="left"/>
              <w:rPr>
                <w:rFonts w:hint="eastAsia" w:ascii="微软雅黑" w:hAnsi="微软雅黑" w:eastAsia="微软雅黑" w:cs="宋体"/>
                <w:color w:val="000000"/>
                <w:kern w:val="0"/>
                <w:sz w:val="20"/>
                <w:szCs w:val="20"/>
                <w:highlight w:val="none"/>
              </w:rPr>
            </w:pPr>
            <w:r>
              <w:rPr>
                <w:rFonts w:hint="eastAsia" w:ascii="宋体" w:hAnsi="宋体" w:eastAsia="宋体" w:cs="宋体"/>
                <w:color w:val="000000"/>
                <w:kern w:val="0"/>
                <w:sz w:val="20"/>
                <w:szCs w:val="20"/>
                <w:highlight w:val="none"/>
              </w:rPr>
              <w:t>三合一彩色打印机</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台</w:t>
            </w:r>
          </w:p>
        </w:tc>
        <w:tc>
          <w:tcPr>
            <w:tcW w:w="290"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w:t>
            </w:r>
          </w:p>
        </w:tc>
        <w:tc>
          <w:tcPr>
            <w:tcW w:w="682" w:type="pct"/>
            <w:tcBorders>
              <w:top w:val="nil"/>
              <w:left w:val="nil"/>
              <w:bottom w:val="single" w:color="auto" w:sz="4" w:space="0"/>
              <w:right w:val="single" w:color="auto" w:sz="4" w:space="0"/>
            </w:tcBorders>
            <w:noWrap/>
            <w:vAlign w:val="center"/>
          </w:tcPr>
          <w:p>
            <w:pPr>
              <w:widowControl/>
              <w:jc w:val="both"/>
              <w:rPr>
                <w:rFonts w:hint="eastAsia" w:ascii="宋体" w:hAnsi="宋体" w:eastAsia="宋体" w:cs="宋体"/>
                <w:color w:val="000000"/>
                <w:kern w:val="0"/>
                <w:sz w:val="20"/>
                <w:szCs w:val="20"/>
                <w:highlight w:val="none"/>
              </w:rPr>
            </w:pPr>
            <w:r>
              <w:rPr>
                <w:rFonts w:hint="eastAsia" w:hAnsi="宋体" w:eastAsia="宋体" w:cs="宋体"/>
                <w:color w:val="000000"/>
                <w:kern w:val="0"/>
                <w:sz w:val="20"/>
                <w:szCs w:val="20"/>
                <w:highlight w:val="none"/>
                <w:lang w:eastAsia="zh-CN"/>
              </w:rPr>
              <w:t>佳能、</w:t>
            </w:r>
            <w:r>
              <w:rPr>
                <w:rFonts w:hint="eastAsia" w:hAnsi="宋体" w:eastAsia="宋体" w:cs="宋体"/>
                <w:color w:val="000000"/>
                <w:kern w:val="0"/>
                <w:sz w:val="20"/>
                <w:szCs w:val="20"/>
                <w:highlight w:val="none"/>
                <w:lang w:val="en-US" w:eastAsia="zh-CN"/>
              </w:rPr>
              <w:t>HP、联想</w:t>
            </w:r>
            <w:r>
              <w:rPr>
                <w:rFonts w:hint="eastAsia" w:ascii="宋体" w:hAnsi="宋体" w:eastAsia="宋体" w:cs="宋体"/>
                <w:color w:val="000000"/>
                <w:kern w:val="0"/>
                <w:sz w:val="20"/>
                <w:szCs w:val="20"/>
                <w:highlight w:val="none"/>
              </w:rPr>
              <w:t>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3</w:t>
            </w:r>
          </w:p>
        </w:tc>
        <w:tc>
          <w:tcPr>
            <w:tcW w:w="568"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无线投屏</w:t>
            </w:r>
          </w:p>
        </w:tc>
        <w:tc>
          <w:tcPr>
            <w:tcW w:w="2927" w:type="pct"/>
            <w:tcBorders>
              <w:top w:val="nil"/>
              <w:left w:val="nil"/>
              <w:bottom w:val="single" w:color="auto" w:sz="4" w:space="0"/>
              <w:right w:val="single" w:color="auto" w:sz="4" w:space="0"/>
            </w:tcBorders>
            <w:noWrap w:val="0"/>
            <w:vAlign w:val="center"/>
          </w:tcPr>
          <w:p>
            <w:pPr>
              <w:widowControl/>
              <w:jc w:val="left"/>
              <w:rPr>
                <w:rFonts w:hint="eastAsia" w:ascii="微软雅黑" w:hAnsi="微软雅黑" w:eastAsia="微软雅黑" w:cs="宋体"/>
                <w:color w:val="000000"/>
                <w:kern w:val="0"/>
                <w:sz w:val="20"/>
                <w:szCs w:val="20"/>
                <w:highlight w:val="none"/>
              </w:rPr>
            </w:pPr>
            <w:r>
              <w:rPr>
                <w:rFonts w:hint="eastAsia" w:ascii="微软雅黑" w:hAnsi="微软雅黑" w:eastAsia="微软雅黑" w:cs="宋体"/>
                <w:color w:val="000000"/>
                <w:kern w:val="0"/>
                <w:sz w:val="20"/>
                <w:szCs w:val="20"/>
                <w:highlight w:val="none"/>
                <w:lang w:eastAsia="zh-CN"/>
              </w:rPr>
              <w:t>无线投屏功能。</w:t>
            </w:r>
            <w:r>
              <w:rPr>
                <w:rFonts w:hint="eastAsia" w:ascii="微软雅黑" w:hAnsi="微软雅黑" w:eastAsia="微软雅黑" w:cs="宋体"/>
                <w:color w:val="000000"/>
                <w:kern w:val="0"/>
                <w:sz w:val="20"/>
                <w:szCs w:val="20"/>
                <w:highlight w:val="none"/>
              </w:rPr>
              <w:t>　</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台</w:t>
            </w:r>
          </w:p>
        </w:tc>
        <w:tc>
          <w:tcPr>
            <w:tcW w:w="290"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w:t>
            </w:r>
          </w:p>
        </w:tc>
        <w:tc>
          <w:tcPr>
            <w:tcW w:w="682" w:type="pct"/>
            <w:tcBorders>
              <w:top w:val="nil"/>
              <w:left w:val="nil"/>
              <w:bottom w:val="single" w:color="auto" w:sz="4" w:space="0"/>
              <w:right w:val="single" w:color="auto" w:sz="4" w:space="0"/>
            </w:tcBorders>
            <w:noWrap/>
            <w:vAlign w:val="center"/>
          </w:tcPr>
          <w:p>
            <w:pPr>
              <w:widowControl/>
              <w:jc w:val="both"/>
              <w:rPr>
                <w:rFonts w:hint="eastAsia" w:ascii="宋体" w:hAnsi="宋体" w:eastAsia="宋体" w:cs="宋体"/>
                <w:color w:val="000000"/>
                <w:kern w:val="0"/>
                <w:sz w:val="20"/>
                <w:szCs w:val="20"/>
                <w:highlight w:val="none"/>
              </w:rPr>
            </w:pPr>
            <w:r>
              <w:rPr>
                <w:rFonts w:hint="eastAsia" w:hAnsi="宋体" w:eastAsia="宋体" w:cs="宋体"/>
                <w:color w:val="000000"/>
                <w:kern w:val="0"/>
                <w:sz w:val="20"/>
                <w:szCs w:val="20"/>
                <w:highlight w:val="none"/>
                <w:lang w:eastAsia="zh-CN"/>
              </w:rPr>
              <w:t>国产</w:t>
            </w:r>
            <w:r>
              <w:rPr>
                <w:rFonts w:hint="eastAsia" w:ascii="宋体" w:hAnsi="宋体" w:eastAsia="宋体" w:cs="宋体"/>
                <w:color w:val="000000"/>
                <w:kern w:val="0"/>
                <w:sz w:val="20"/>
                <w:szCs w:val="20"/>
                <w:highlight w:val="none"/>
              </w:rPr>
              <w:t>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bCs/>
                <w:color w:val="000000"/>
                <w:kern w:val="0"/>
                <w:sz w:val="20"/>
                <w:szCs w:val="20"/>
                <w:highlight w:val="none"/>
              </w:rPr>
            </w:pPr>
            <w:r>
              <w:rPr>
                <w:rFonts w:hint="eastAsia" w:ascii="宋体" w:hAnsi="宋体" w:eastAsia="宋体" w:cs="宋体"/>
                <w:b/>
                <w:bCs/>
                <w:color w:val="000000"/>
                <w:kern w:val="0"/>
                <w:sz w:val="20"/>
                <w:szCs w:val="20"/>
                <w:highlight w:val="none"/>
              </w:rPr>
              <w:t>H</w:t>
            </w:r>
          </w:p>
        </w:tc>
        <w:tc>
          <w:tcPr>
            <w:tcW w:w="568"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kern w:val="0"/>
                <w:sz w:val="20"/>
                <w:szCs w:val="20"/>
                <w:highlight w:val="none"/>
              </w:rPr>
            </w:pPr>
            <w:r>
              <w:rPr>
                <w:rFonts w:hint="eastAsia" w:ascii="宋体" w:hAnsi="宋体" w:eastAsia="宋体" w:cs="宋体"/>
                <w:b/>
                <w:bCs/>
                <w:color w:val="000000"/>
                <w:kern w:val="0"/>
                <w:sz w:val="20"/>
                <w:szCs w:val="20"/>
                <w:highlight w:val="none"/>
              </w:rPr>
              <w:t>安装辅材系统</w:t>
            </w:r>
          </w:p>
        </w:tc>
        <w:tc>
          <w:tcPr>
            <w:tcW w:w="2927"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w:t>
            </w:r>
          </w:p>
        </w:tc>
        <w:tc>
          <w:tcPr>
            <w:tcW w:w="293"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w:t>
            </w:r>
          </w:p>
        </w:tc>
        <w:tc>
          <w:tcPr>
            <w:tcW w:w="290"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w:t>
            </w:r>
          </w:p>
        </w:tc>
        <w:tc>
          <w:tcPr>
            <w:tcW w:w="682"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w:t>
            </w:r>
          </w:p>
        </w:tc>
        <w:tc>
          <w:tcPr>
            <w:tcW w:w="568"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设备机柜</w:t>
            </w:r>
          </w:p>
        </w:tc>
        <w:tc>
          <w:tcPr>
            <w:tcW w:w="2927"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42U,600*600</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台</w:t>
            </w:r>
          </w:p>
        </w:tc>
        <w:tc>
          <w:tcPr>
            <w:tcW w:w="290"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w:t>
            </w:r>
          </w:p>
        </w:tc>
        <w:tc>
          <w:tcPr>
            <w:tcW w:w="682"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hAnsi="宋体" w:eastAsia="宋体" w:cs="宋体"/>
                <w:color w:val="000000"/>
                <w:kern w:val="0"/>
                <w:sz w:val="20"/>
                <w:szCs w:val="20"/>
                <w:highlight w:val="none"/>
                <w:lang w:eastAsia="zh-CN"/>
              </w:rPr>
              <w:t>国产</w:t>
            </w:r>
            <w:r>
              <w:rPr>
                <w:rFonts w:hint="eastAsia" w:ascii="宋体" w:hAnsi="宋体" w:eastAsia="宋体" w:cs="宋体"/>
                <w:color w:val="000000"/>
                <w:kern w:val="0"/>
                <w:sz w:val="20"/>
                <w:szCs w:val="20"/>
                <w:highlight w:val="none"/>
              </w:rPr>
              <w:t>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2</w:t>
            </w:r>
          </w:p>
        </w:tc>
        <w:tc>
          <w:tcPr>
            <w:tcW w:w="568"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32寸液晶电视</w:t>
            </w:r>
          </w:p>
        </w:tc>
        <w:tc>
          <w:tcPr>
            <w:tcW w:w="2927"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32寸液晶显示器</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台</w:t>
            </w:r>
          </w:p>
        </w:tc>
        <w:tc>
          <w:tcPr>
            <w:tcW w:w="290"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w:t>
            </w:r>
          </w:p>
        </w:tc>
        <w:tc>
          <w:tcPr>
            <w:tcW w:w="682"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hAnsi="宋体" w:eastAsia="宋体" w:cs="宋体"/>
                <w:color w:val="000000"/>
                <w:kern w:val="0"/>
                <w:sz w:val="20"/>
                <w:szCs w:val="20"/>
                <w:highlight w:val="none"/>
                <w:lang w:eastAsia="zh-CN"/>
              </w:rPr>
              <w:t>国产</w:t>
            </w:r>
            <w:r>
              <w:rPr>
                <w:rFonts w:hint="eastAsia" w:ascii="宋体" w:hAnsi="宋体" w:eastAsia="宋体" w:cs="宋体"/>
                <w:color w:val="000000"/>
                <w:kern w:val="0"/>
                <w:sz w:val="20"/>
                <w:szCs w:val="20"/>
                <w:highlight w:val="none"/>
              </w:rPr>
              <w:t>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3</w:t>
            </w:r>
          </w:p>
        </w:tc>
        <w:tc>
          <w:tcPr>
            <w:tcW w:w="568"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多媒体桌插</w:t>
            </w:r>
          </w:p>
        </w:tc>
        <w:tc>
          <w:tcPr>
            <w:tcW w:w="2927"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含模块</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套</w:t>
            </w:r>
          </w:p>
        </w:tc>
        <w:tc>
          <w:tcPr>
            <w:tcW w:w="290"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4</w:t>
            </w:r>
          </w:p>
        </w:tc>
        <w:tc>
          <w:tcPr>
            <w:tcW w:w="682"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hAnsi="宋体" w:eastAsia="宋体" w:cs="宋体"/>
                <w:color w:val="000000"/>
                <w:kern w:val="0"/>
                <w:sz w:val="20"/>
                <w:szCs w:val="20"/>
                <w:highlight w:val="none"/>
                <w:lang w:eastAsia="zh-CN"/>
              </w:rPr>
              <w:t>国产</w:t>
            </w:r>
            <w:r>
              <w:rPr>
                <w:rFonts w:hint="eastAsia" w:ascii="宋体" w:hAnsi="宋体" w:eastAsia="宋体" w:cs="宋体"/>
                <w:color w:val="000000"/>
                <w:kern w:val="0"/>
                <w:sz w:val="20"/>
                <w:szCs w:val="20"/>
                <w:highlight w:val="none"/>
              </w:rPr>
              <w:t>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5</w:t>
            </w:r>
          </w:p>
        </w:tc>
        <w:tc>
          <w:tcPr>
            <w:tcW w:w="568"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高清HDMI成品线</w:t>
            </w:r>
          </w:p>
        </w:tc>
        <w:tc>
          <w:tcPr>
            <w:tcW w:w="2927"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2m/根高清HDMI成品线</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根</w:t>
            </w:r>
          </w:p>
        </w:tc>
        <w:tc>
          <w:tcPr>
            <w:tcW w:w="290"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24</w:t>
            </w:r>
          </w:p>
        </w:tc>
        <w:tc>
          <w:tcPr>
            <w:tcW w:w="682"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hAnsi="宋体" w:eastAsia="宋体" w:cs="宋体"/>
                <w:color w:val="000000"/>
                <w:kern w:val="0"/>
                <w:sz w:val="20"/>
                <w:szCs w:val="20"/>
                <w:highlight w:val="none"/>
                <w:lang w:eastAsia="zh-CN"/>
              </w:rPr>
              <w:t>国产</w:t>
            </w:r>
            <w:r>
              <w:rPr>
                <w:rFonts w:hint="eastAsia" w:ascii="宋体" w:hAnsi="宋体" w:eastAsia="宋体" w:cs="宋体"/>
                <w:color w:val="000000"/>
                <w:kern w:val="0"/>
                <w:sz w:val="20"/>
                <w:szCs w:val="20"/>
                <w:highlight w:val="none"/>
              </w:rPr>
              <w:t>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6</w:t>
            </w:r>
          </w:p>
        </w:tc>
        <w:tc>
          <w:tcPr>
            <w:tcW w:w="568"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音视频接插件</w:t>
            </w:r>
          </w:p>
        </w:tc>
        <w:tc>
          <w:tcPr>
            <w:tcW w:w="2927"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卡侬、大杆、3.5Jack等</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批</w:t>
            </w:r>
          </w:p>
        </w:tc>
        <w:tc>
          <w:tcPr>
            <w:tcW w:w="290"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w:t>
            </w:r>
          </w:p>
        </w:tc>
        <w:tc>
          <w:tcPr>
            <w:tcW w:w="682"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hAnsi="宋体" w:eastAsia="宋体" w:cs="宋体"/>
                <w:color w:val="000000"/>
                <w:kern w:val="0"/>
                <w:sz w:val="20"/>
                <w:szCs w:val="20"/>
                <w:highlight w:val="none"/>
                <w:lang w:eastAsia="zh-CN"/>
              </w:rPr>
              <w:t>国产</w:t>
            </w:r>
            <w:r>
              <w:rPr>
                <w:rFonts w:hint="eastAsia" w:ascii="宋体" w:hAnsi="宋体" w:eastAsia="宋体" w:cs="宋体"/>
                <w:color w:val="000000"/>
                <w:kern w:val="0"/>
                <w:sz w:val="20"/>
                <w:szCs w:val="20"/>
                <w:highlight w:val="none"/>
              </w:rPr>
              <w:t>　　</w:t>
            </w:r>
          </w:p>
        </w:tc>
      </w:tr>
      <w:tr>
        <w:tblPrEx>
          <w:tblCellMar>
            <w:top w:w="0" w:type="dxa"/>
            <w:left w:w="108" w:type="dxa"/>
            <w:bottom w:w="0" w:type="dxa"/>
            <w:right w:w="108" w:type="dxa"/>
          </w:tblCellMar>
        </w:tblPrEx>
        <w:trPr>
          <w:trHeight w:val="270" w:hRule="atLeast"/>
        </w:trPr>
        <w:tc>
          <w:tcPr>
            <w:tcW w:w="23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7</w:t>
            </w:r>
          </w:p>
        </w:tc>
        <w:tc>
          <w:tcPr>
            <w:tcW w:w="568"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线缆及管材</w:t>
            </w:r>
          </w:p>
        </w:tc>
        <w:tc>
          <w:tcPr>
            <w:tcW w:w="2927"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音频线、电源线、音箱线、管材等</w:t>
            </w:r>
          </w:p>
        </w:tc>
        <w:tc>
          <w:tcPr>
            <w:tcW w:w="293"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批</w:t>
            </w:r>
          </w:p>
        </w:tc>
        <w:tc>
          <w:tcPr>
            <w:tcW w:w="290"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ascii="宋体" w:hAnsi="宋体" w:eastAsia="宋体" w:cs="宋体"/>
                <w:color w:val="000000"/>
                <w:kern w:val="0"/>
                <w:sz w:val="20"/>
                <w:szCs w:val="20"/>
                <w:highlight w:val="none"/>
              </w:rPr>
              <w:t>1</w:t>
            </w:r>
          </w:p>
        </w:tc>
        <w:tc>
          <w:tcPr>
            <w:tcW w:w="682"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0"/>
                <w:szCs w:val="20"/>
                <w:highlight w:val="none"/>
              </w:rPr>
            </w:pPr>
            <w:r>
              <w:rPr>
                <w:rFonts w:hint="eastAsia" w:hAnsi="宋体" w:eastAsia="宋体" w:cs="宋体"/>
                <w:color w:val="000000"/>
                <w:kern w:val="0"/>
                <w:sz w:val="20"/>
                <w:szCs w:val="20"/>
                <w:highlight w:val="none"/>
                <w:lang w:eastAsia="zh-CN"/>
              </w:rPr>
              <w:t>国产</w:t>
            </w:r>
            <w:r>
              <w:rPr>
                <w:rFonts w:hint="eastAsia" w:ascii="宋体" w:hAnsi="宋体" w:eastAsia="宋体" w:cs="宋体"/>
                <w:color w:val="000000"/>
                <w:kern w:val="0"/>
                <w:sz w:val="20"/>
                <w:szCs w:val="20"/>
                <w:highlight w:val="none"/>
              </w:rPr>
              <w:t>　　</w:t>
            </w:r>
          </w:p>
        </w:tc>
      </w:tr>
    </w:tbl>
    <w:p>
      <w:pPr>
        <w:rPr>
          <w:rFonts w:hint="eastAsia" w:ascii="宋体" w:hAnsi="宋体" w:eastAsia="宋体" w:cs="宋体"/>
          <w:szCs w:val="28"/>
          <w:highlight w:val="none"/>
        </w:rPr>
      </w:pPr>
    </w:p>
    <w:p>
      <w:pPr>
        <w:pStyle w:val="10"/>
        <w:spacing w:line="480" w:lineRule="exact"/>
        <w:ind w:firstLine="0" w:firstLineChars="0"/>
        <w:rPr>
          <w:rFonts w:hint="eastAsia" w:ascii="宋体" w:hAnsi="宋体" w:eastAsia="宋体" w:cs="宋体"/>
          <w:b/>
          <w:bCs/>
          <w:sz w:val="24"/>
          <w:szCs w:val="24"/>
          <w:highlight w:val="none"/>
        </w:rPr>
      </w:pPr>
    </w:p>
    <w:p>
      <w:pPr>
        <w:jc w:val="center"/>
        <w:outlineLvl w:val="0"/>
        <w:rPr>
          <w:rFonts w:hint="eastAsia" w:ascii="宋体" w:hAnsi="宋体" w:eastAsia="宋体" w:cs="宋体"/>
          <w:szCs w:val="28"/>
          <w:highlight w:val="none"/>
        </w:rPr>
      </w:pPr>
      <w:r>
        <w:rPr>
          <w:rFonts w:hint="eastAsia" w:ascii="宋体" w:hAnsi="宋体" w:eastAsia="宋体" w:cs="宋体"/>
          <w:b/>
          <w:bCs/>
          <w:sz w:val="36"/>
          <w:szCs w:val="36"/>
          <w:highlight w:val="none"/>
        </w:rPr>
        <w:br w:type="page"/>
      </w:r>
      <w:bookmarkStart w:id="4" w:name="_Toc4744139"/>
      <w:r>
        <w:rPr>
          <w:rFonts w:hint="eastAsia" w:ascii="宋体" w:hAnsi="宋体" w:eastAsia="宋体" w:cs="宋体"/>
          <w:b/>
          <w:bCs/>
          <w:sz w:val="36"/>
          <w:szCs w:val="36"/>
          <w:highlight w:val="none"/>
        </w:rPr>
        <w:t>第四章  评分标准</w:t>
      </w:r>
      <w:bookmarkEnd w:id="4"/>
    </w:p>
    <w:p>
      <w:pPr>
        <w:pStyle w:val="11"/>
        <w:keepNext w:val="0"/>
        <w:keepLines w:val="0"/>
        <w:pageBreakBefore w:val="0"/>
        <w:widowControl w:val="0"/>
        <w:numPr>
          <w:ilvl w:val="0"/>
          <w:numId w:val="0"/>
        </w:numPr>
        <w:kinsoku/>
        <w:wordWrap/>
        <w:overflowPunct/>
        <w:topLinePunct w:val="0"/>
        <w:autoSpaceDE/>
        <w:autoSpaceDN/>
        <w:bidi w:val="0"/>
        <w:adjustRightInd w:val="0"/>
        <w:snapToGrid/>
        <w:spacing w:line="500" w:lineRule="exact"/>
        <w:ind w:firstLine="482" w:firstLineChars="200"/>
        <w:textAlignment w:val="baseline"/>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一、评标方法与定标原则</w:t>
      </w:r>
    </w:p>
    <w:p>
      <w:pPr>
        <w:pStyle w:val="11"/>
        <w:keepNext w:val="0"/>
        <w:keepLines w:val="0"/>
        <w:pageBreakBefore w:val="0"/>
        <w:widowControl w:val="0"/>
        <w:numPr>
          <w:ilvl w:val="0"/>
          <w:numId w:val="0"/>
        </w:numPr>
        <w:kinsoku/>
        <w:wordWrap/>
        <w:overflowPunct/>
        <w:topLinePunct w:val="0"/>
        <w:autoSpaceDE/>
        <w:autoSpaceDN/>
        <w:bidi w:val="0"/>
        <w:adjustRightInd w:val="0"/>
        <w:snapToGrid/>
        <w:spacing w:line="500" w:lineRule="exact"/>
        <w:ind w:firstLine="480" w:firstLineChars="200"/>
        <w:textAlignment w:val="baseline"/>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评委会将对确定为实质性响应</w:t>
      </w:r>
      <w:r>
        <w:rPr>
          <w:rFonts w:hint="eastAsia" w:ascii="宋体" w:hAnsi="宋体" w:eastAsia="宋体" w:cs="宋体"/>
          <w:sz w:val="24"/>
          <w:szCs w:val="24"/>
          <w:highlight w:val="none"/>
          <w:lang w:eastAsia="zh-CN"/>
        </w:rPr>
        <w:t>采购文件</w:t>
      </w:r>
      <w:r>
        <w:rPr>
          <w:rFonts w:hint="eastAsia" w:ascii="宋体" w:hAnsi="宋体" w:eastAsia="宋体" w:cs="宋体"/>
          <w:sz w:val="24"/>
          <w:szCs w:val="24"/>
          <w:highlight w:val="none"/>
        </w:rPr>
        <w:t>要求的</w:t>
      </w:r>
      <w:r>
        <w:rPr>
          <w:rFonts w:hint="eastAsia" w:ascii="宋体" w:hAnsi="宋体" w:eastAsia="宋体" w:cs="宋体"/>
          <w:sz w:val="24"/>
          <w:szCs w:val="24"/>
          <w:highlight w:val="none"/>
          <w:lang w:val="en-US" w:eastAsia="zh-CN"/>
        </w:rPr>
        <w:t>响应</w:t>
      </w:r>
      <w:r>
        <w:rPr>
          <w:rFonts w:hint="eastAsia" w:ascii="宋体" w:hAnsi="宋体" w:eastAsia="宋体" w:cs="宋体"/>
          <w:sz w:val="24"/>
          <w:szCs w:val="24"/>
          <w:highlight w:val="none"/>
        </w:rPr>
        <w:t>文件进行评价和比较，评标采用综合评分法确定中标候选人。按评审后得分由高到低顺序排列。得分相同的，按投标报价由低到高顺序排列。得分且投标报价相同的，按项目方案指标优劣顺序排列。</w:t>
      </w:r>
    </w:p>
    <w:p>
      <w:pPr>
        <w:pStyle w:val="11"/>
        <w:keepNext w:val="0"/>
        <w:keepLines w:val="0"/>
        <w:pageBreakBefore w:val="0"/>
        <w:widowControl w:val="0"/>
        <w:numPr>
          <w:ilvl w:val="0"/>
          <w:numId w:val="0"/>
        </w:numPr>
        <w:kinsoku/>
        <w:wordWrap/>
        <w:overflowPunct/>
        <w:topLinePunct w:val="0"/>
        <w:autoSpaceDE/>
        <w:autoSpaceDN/>
        <w:bidi w:val="0"/>
        <w:adjustRightInd w:val="0"/>
        <w:snapToGrid/>
        <w:spacing w:line="500" w:lineRule="exact"/>
        <w:ind w:firstLine="482" w:firstLineChars="200"/>
        <w:textAlignment w:val="baseline"/>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二、评分标准</w:t>
      </w:r>
    </w:p>
    <w:p>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评标委员会认为供应商的报价明显低于其他通过符合性审查供应商的报价，有可能影响服务质量或者不能诚信履约的，应当要求其在评标现场提供书面说明，必要时提交相关证明材料；供应商不能证明其报价合理性的，评标委员会应当将其作为无效投标处理。</w:t>
      </w:r>
    </w:p>
    <w:p>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本项目总分值为100分。投标价低于或等于采购预算价格的，为有效投标报价。超出采购预算的投标报价为无效投标报价，无效投标报价的</w:t>
      </w:r>
      <w:r>
        <w:rPr>
          <w:rFonts w:hint="eastAsia" w:ascii="宋体" w:hAnsi="宋体" w:eastAsia="宋体" w:cs="宋体"/>
          <w:sz w:val="24"/>
          <w:szCs w:val="24"/>
          <w:highlight w:val="none"/>
          <w:lang w:val="en-US" w:eastAsia="zh-CN"/>
        </w:rPr>
        <w:t>响应</w:t>
      </w:r>
      <w:r>
        <w:rPr>
          <w:rFonts w:hint="eastAsia" w:ascii="宋体" w:hAnsi="宋体" w:eastAsia="宋体" w:cs="宋体"/>
          <w:sz w:val="24"/>
          <w:szCs w:val="24"/>
          <w:highlight w:val="none"/>
        </w:rPr>
        <w:t>文件不进行评审，也不得中标。</w:t>
      </w:r>
    </w:p>
    <w:p>
      <w:pPr>
        <w:pStyle w:val="11"/>
        <w:keepNext w:val="0"/>
        <w:keepLines w:val="0"/>
        <w:pageBreakBefore w:val="0"/>
        <w:widowControl w:val="0"/>
        <w:numPr>
          <w:ilvl w:val="0"/>
          <w:numId w:val="0"/>
        </w:numPr>
        <w:kinsoku/>
        <w:wordWrap/>
        <w:overflowPunct/>
        <w:topLinePunct w:val="0"/>
        <w:autoSpaceDE/>
        <w:autoSpaceDN/>
        <w:bidi w:val="0"/>
        <w:adjustRightInd w:val="0"/>
        <w:snapToGrid/>
        <w:spacing w:line="500" w:lineRule="exact"/>
        <w:textAlignment w:val="baseline"/>
        <w:outlineLvl w:val="9"/>
        <w:rPr>
          <w:rFonts w:hint="eastAsia" w:ascii="宋体" w:hAnsi="宋体" w:eastAsia="宋体" w:cs="宋体"/>
          <w:b/>
          <w:bCs/>
          <w:sz w:val="24"/>
          <w:szCs w:val="24"/>
          <w:highlight w:val="none"/>
          <w:lang w:eastAsia="zh-CN"/>
        </w:rPr>
      </w:pPr>
      <w:r>
        <w:rPr>
          <w:rFonts w:hint="eastAsia" w:ascii="宋体" w:hAnsi="宋体" w:eastAsia="宋体" w:cs="宋体"/>
          <w:b/>
          <w:bCs/>
          <w:sz w:val="24"/>
          <w:szCs w:val="24"/>
          <w:highlight w:val="none"/>
          <w:lang w:eastAsia="zh-CN"/>
        </w:rPr>
        <w:t>三、评分表</w:t>
      </w:r>
    </w:p>
    <w:tbl>
      <w:tblPr>
        <w:tblStyle w:val="5"/>
        <w:tblW w:w="5302" w:type="pct"/>
        <w:tblInd w:w="0" w:type="dxa"/>
        <w:tblLayout w:type="fixed"/>
        <w:tblCellMar>
          <w:top w:w="0" w:type="dxa"/>
          <w:left w:w="108" w:type="dxa"/>
          <w:bottom w:w="0" w:type="dxa"/>
          <w:right w:w="108" w:type="dxa"/>
        </w:tblCellMar>
      </w:tblPr>
      <w:tblGrid>
        <w:gridCol w:w="533"/>
        <w:gridCol w:w="852"/>
        <w:gridCol w:w="849"/>
        <w:gridCol w:w="1561"/>
        <w:gridCol w:w="5242"/>
      </w:tblGrid>
      <w:tr>
        <w:tblPrEx>
          <w:tblCellMar>
            <w:top w:w="0" w:type="dxa"/>
            <w:left w:w="108" w:type="dxa"/>
            <w:bottom w:w="0" w:type="dxa"/>
            <w:right w:w="108" w:type="dxa"/>
          </w:tblCellMar>
        </w:tblPrEx>
        <w:trPr>
          <w:trHeight w:val="360" w:hRule="atLeast"/>
        </w:trPr>
        <w:tc>
          <w:tcPr>
            <w:tcW w:w="294"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bCs/>
                <w:color w:val="000000"/>
                <w:kern w:val="0"/>
                <w:sz w:val="24"/>
                <w:szCs w:val="24"/>
                <w:highlight w:val="none"/>
              </w:rPr>
            </w:pPr>
            <w:r>
              <w:rPr>
                <w:rFonts w:hint="eastAsia" w:ascii="宋体" w:hAnsi="宋体" w:eastAsia="宋体" w:cs="宋体"/>
                <w:b/>
                <w:bCs/>
                <w:color w:val="000000"/>
                <w:kern w:val="0"/>
                <w:sz w:val="24"/>
                <w:szCs w:val="24"/>
                <w:highlight w:val="none"/>
              </w:rPr>
              <w:t>序号</w:t>
            </w:r>
          </w:p>
        </w:tc>
        <w:tc>
          <w:tcPr>
            <w:tcW w:w="471" w:type="pct"/>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b/>
                <w:bCs/>
                <w:color w:val="000000"/>
                <w:kern w:val="0"/>
                <w:sz w:val="24"/>
                <w:szCs w:val="24"/>
                <w:highlight w:val="none"/>
              </w:rPr>
            </w:pPr>
            <w:r>
              <w:rPr>
                <w:rFonts w:hint="eastAsia" w:ascii="宋体" w:hAnsi="宋体" w:eastAsia="宋体" w:cs="宋体"/>
                <w:b/>
                <w:bCs/>
                <w:color w:val="000000"/>
                <w:kern w:val="0"/>
                <w:sz w:val="24"/>
                <w:szCs w:val="24"/>
                <w:highlight w:val="none"/>
              </w:rPr>
              <w:t>评分项目</w:t>
            </w:r>
          </w:p>
        </w:tc>
        <w:tc>
          <w:tcPr>
            <w:tcW w:w="469"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bCs/>
                <w:color w:val="000000"/>
                <w:kern w:val="0"/>
                <w:sz w:val="24"/>
                <w:szCs w:val="24"/>
                <w:highlight w:val="none"/>
              </w:rPr>
            </w:pPr>
            <w:r>
              <w:rPr>
                <w:rFonts w:hint="eastAsia" w:ascii="宋体" w:hAnsi="宋体" w:eastAsia="宋体" w:cs="宋体"/>
                <w:b/>
                <w:bCs/>
                <w:color w:val="000000"/>
                <w:kern w:val="0"/>
                <w:sz w:val="24"/>
                <w:szCs w:val="24"/>
                <w:highlight w:val="none"/>
              </w:rPr>
              <w:t>权重</w:t>
            </w:r>
          </w:p>
        </w:tc>
        <w:tc>
          <w:tcPr>
            <w:tcW w:w="863"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bCs/>
                <w:color w:val="000000"/>
                <w:kern w:val="0"/>
                <w:sz w:val="24"/>
                <w:szCs w:val="24"/>
                <w:highlight w:val="none"/>
              </w:rPr>
            </w:pPr>
            <w:r>
              <w:rPr>
                <w:rFonts w:hint="eastAsia" w:ascii="宋体" w:hAnsi="宋体" w:eastAsia="宋体" w:cs="宋体"/>
                <w:b/>
                <w:bCs/>
                <w:color w:val="000000"/>
                <w:kern w:val="0"/>
                <w:sz w:val="24"/>
                <w:szCs w:val="24"/>
                <w:highlight w:val="none"/>
              </w:rPr>
              <w:t>评分细则</w:t>
            </w:r>
          </w:p>
        </w:tc>
        <w:tc>
          <w:tcPr>
            <w:tcW w:w="2900"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bCs/>
                <w:color w:val="000000"/>
                <w:kern w:val="0"/>
                <w:sz w:val="24"/>
                <w:szCs w:val="24"/>
                <w:highlight w:val="none"/>
              </w:rPr>
            </w:pPr>
            <w:r>
              <w:rPr>
                <w:rFonts w:hint="eastAsia" w:ascii="宋体" w:hAnsi="宋体" w:eastAsia="宋体" w:cs="宋体"/>
                <w:b/>
                <w:bCs/>
                <w:color w:val="000000"/>
                <w:kern w:val="0"/>
                <w:sz w:val="24"/>
                <w:szCs w:val="24"/>
                <w:highlight w:val="none"/>
              </w:rPr>
              <w:t>评分标准</w:t>
            </w:r>
          </w:p>
        </w:tc>
      </w:tr>
      <w:tr>
        <w:tblPrEx>
          <w:tblCellMar>
            <w:top w:w="0" w:type="dxa"/>
            <w:left w:w="108" w:type="dxa"/>
            <w:bottom w:w="0" w:type="dxa"/>
            <w:right w:w="108" w:type="dxa"/>
          </w:tblCellMar>
        </w:tblPrEx>
        <w:trPr>
          <w:trHeight w:val="360" w:hRule="atLeast"/>
        </w:trPr>
        <w:tc>
          <w:tcPr>
            <w:tcW w:w="294"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一</w:t>
            </w:r>
          </w:p>
        </w:tc>
        <w:tc>
          <w:tcPr>
            <w:tcW w:w="4705" w:type="pct"/>
            <w:gridSpan w:val="4"/>
            <w:tcBorders>
              <w:top w:val="single" w:color="auto" w:sz="4" w:space="0"/>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价格部分（</w:t>
            </w:r>
            <w:r>
              <w:rPr>
                <w:rFonts w:hint="eastAsia" w:hAnsi="宋体" w:eastAsia="宋体" w:cs="宋体"/>
                <w:color w:val="000000"/>
                <w:kern w:val="0"/>
                <w:sz w:val="24"/>
                <w:szCs w:val="24"/>
                <w:highlight w:val="none"/>
                <w:lang w:val="en-US" w:eastAsia="zh-CN"/>
              </w:rPr>
              <w:t>30</w:t>
            </w:r>
            <w:r>
              <w:rPr>
                <w:rFonts w:hint="eastAsia" w:ascii="宋体" w:hAnsi="宋体" w:eastAsia="宋体" w:cs="宋体"/>
                <w:color w:val="000000"/>
                <w:kern w:val="0"/>
                <w:sz w:val="24"/>
                <w:szCs w:val="24"/>
                <w:highlight w:val="none"/>
              </w:rPr>
              <w:t>分）</w:t>
            </w:r>
          </w:p>
        </w:tc>
      </w:tr>
      <w:tr>
        <w:tblPrEx>
          <w:tblCellMar>
            <w:top w:w="0" w:type="dxa"/>
            <w:left w:w="108" w:type="dxa"/>
            <w:bottom w:w="0" w:type="dxa"/>
            <w:right w:w="108" w:type="dxa"/>
          </w:tblCellMar>
        </w:tblPrEx>
        <w:trPr>
          <w:trHeight w:val="360" w:hRule="atLeast"/>
        </w:trPr>
        <w:tc>
          <w:tcPr>
            <w:tcW w:w="294"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4"/>
                <w:szCs w:val="24"/>
                <w:highlight w:val="none"/>
              </w:rPr>
            </w:pPr>
          </w:p>
        </w:tc>
        <w:tc>
          <w:tcPr>
            <w:tcW w:w="471" w:type="pct"/>
            <w:tcBorders>
              <w:top w:val="single" w:color="auto" w:sz="4" w:space="0"/>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投标报价</w:t>
            </w:r>
          </w:p>
        </w:tc>
        <w:tc>
          <w:tcPr>
            <w:tcW w:w="469" w:type="pct"/>
            <w:tcBorders>
              <w:top w:val="single" w:color="auto" w:sz="4" w:space="0"/>
              <w:left w:val="nil"/>
              <w:bottom w:val="single" w:color="auto" w:sz="4" w:space="0"/>
              <w:right w:val="single" w:color="auto" w:sz="4" w:space="0"/>
            </w:tcBorders>
            <w:noWrap w:val="0"/>
            <w:vAlign w:val="center"/>
          </w:tcPr>
          <w:p>
            <w:pPr>
              <w:widowControl/>
              <w:ind w:firstLine="240" w:firstLineChars="100"/>
              <w:jc w:val="left"/>
              <w:rPr>
                <w:rFonts w:hint="eastAsia" w:ascii="宋体" w:hAnsi="宋体" w:eastAsia="宋体" w:cs="宋体"/>
                <w:color w:val="000000"/>
                <w:kern w:val="0"/>
                <w:sz w:val="24"/>
                <w:szCs w:val="24"/>
                <w:highlight w:val="none"/>
              </w:rPr>
            </w:pPr>
            <w:r>
              <w:rPr>
                <w:rFonts w:hint="eastAsia" w:hAnsi="宋体" w:eastAsia="宋体" w:cs="宋体"/>
                <w:color w:val="000000"/>
                <w:kern w:val="0"/>
                <w:sz w:val="24"/>
                <w:szCs w:val="24"/>
                <w:highlight w:val="none"/>
                <w:lang w:val="en-US" w:eastAsia="zh-CN"/>
              </w:rPr>
              <w:t>30</w:t>
            </w:r>
            <w:r>
              <w:rPr>
                <w:rFonts w:hint="eastAsia" w:ascii="宋体" w:hAnsi="宋体" w:eastAsia="宋体" w:cs="宋体"/>
                <w:color w:val="000000"/>
                <w:kern w:val="0"/>
                <w:sz w:val="24"/>
                <w:szCs w:val="24"/>
                <w:highlight w:val="none"/>
              </w:rPr>
              <w:t xml:space="preserve"> </w:t>
            </w:r>
          </w:p>
        </w:tc>
        <w:tc>
          <w:tcPr>
            <w:tcW w:w="863" w:type="pct"/>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投标报价</w:t>
            </w:r>
          </w:p>
        </w:tc>
        <w:tc>
          <w:tcPr>
            <w:tcW w:w="2900" w:type="pct"/>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价格分采用满足采购文件要求且最后投标价格最低的投标报价为评标基准价，其价格分为满分。其他投标人的价格分按照下列公式计算：投标报价得分=（评标基准价／投标报价）*</w:t>
            </w:r>
            <w:r>
              <w:rPr>
                <w:rFonts w:hint="eastAsia" w:hAnsi="宋体" w:eastAsia="宋体" w:cs="宋体"/>
                <w:color w:val="000000"/>
                <w:kern w:val="0"/>
                <w:sz w:val="24"/>
                <w:szCs w:val="24"/>
                <w:highlight w:val="none"/>
                <w:lang w:val="en-US" w:eastAsia="zh-CN"/>
              </w:rPr>
              <w:t>3</w:t>
            </w:r>
            <w:r>
              <w:rPr>
                <w:rFonts w:hint="eastAsia" w:ascii="宋体" w:hAnsi="宋体" w:eastAsia="宋体" w:cs="宋体"/>
                <w:color w:val="000000"/>
                <w:kern w:val="0"/>
                <w:sz w:val="24"/>
                <w:szCs w:val="24"/>
                <w:highlight w:val="none"/>
              </w:rPr>
              <w:t>0（保留小数点后两位）。</w:t>
            </w:r>
          </w:p>
        </w:tc>
      </w:tr>
      <w:tr>
        <w:tblPrEx>
          <w:tblCellMar>
            <w:top w:w="0" w:type="dxa"/>
            <w:left w:w="108" w:type="dxa"/>
            <w:bottom w:w="0" w:type="dxa"/>
            <w:right w:w="108" w:type="dxa"/>
          </w:tblCellMar>
        </w:tblPrEx>
        <w:trPr>
          <w:trHeight w:val="360" w:hRule="atLeast"/>
        </w:trPr>
        <w:tc>
          <w:tcPr>
            <w:tcW w:w="294" w:type="pc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二</w:t>
            </w:r>
          </w:p>
        </w:tc>
        <w:tc>
          <w:tcPr>
            <w:tcW w:w="4705" w:type="pct"/>
            <w:gridSpan w:val="4"/>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综合实力（2</w:t>
            </w:r>
            <w:r>
              <w:rPr>
                <w:rFonts w:hint="eastAsia" w:hAnsi="宋体" w:eastAsia="宋体" w:cs="宋体"/>
                <w:color w:val="000000"/>
                <w:kern w:val="0"/>
                <w:sz w:val="24"/>
                <w:szCs w:val="24"/>
                <w:highlight w:val="none"/>
                <w:lang w:val="en-US" w:eastAsia="zh-CN"/>
              </w:rPr>
              <w:t>1</w:t>
            </w:r>
            <w:r>
              <w:rPr>
                <w:rFonts w:hint="eastAsia" w:ascii="宋体" w:hAnsi="宋体" w:eastAsia="宋体" w:cs="宋体"/>
                <w:color w:val="000000"/>
                <w:kern w:val="0"/>
                <w:sz w:val="24"/>
                <w:szCs w:val="24"/>
                <w:highlight w:val="none"/>
              </w:rPr>
              <w:t>分）</w:t>
            </w:r>
          </w:p>
        </w:tc>
      </w:tr>
      <w:tr>
        <w:tblPrEx>
          <w:tblCellMar>
            <w:top w:w="0" w:type="dxa"/>
            <w:left w:w="108" w:type="dxa"/>
            <w:bottom w:w="0" w:type="dxa"/>
            <w:right w:w="108" w:type="dxa"/>
          </w:tblCellMar>
        </w:tblPrEx>
        <w:trPr>
          <w:trHeight w:val="558" w:hRule="atLeast"/>
        </w:trPr>
        <w:tc>
          <w:tcPr>
            <w:tcW w:w="294" w:type="pc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p>
        </w:tc>
        <w:tc>
          <w:tcPr>
            <w:tcW w:w="471"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企业技术实力</w:t>
            </w:r>
          </w:p>
        </w:tc>
        <w:tc>
          <w:tcPr>
            <w:tcW w:w="469"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4"/>
                <w:szCs w:val="24"/>
                <w:highlight w:val="none"/>
                <w:lang w:val="en-US" w:eastAsia="zh-CN"/>
              </w:rPr>
            </w:pPr>
            <w:r>
              <w:rPr>
                <w:rFonts w:hint="eastAsia" w:ascii="宋体" w:hAnsi="宋体" w:eastAsia="宋体" w:cs="宋体"/>
                <w:color w:val="000000"/>
                <w:kern w:val="0"/>
                <w:sz w:val="24"/>
                <w:szCs w:val="24"/>
                <w:highlight w:val="none"/>
                <w:lang w:val="en-US" w:eastAsia="zh-CN"/>
              </w:rPr>
              <w:t>1</w:t>
            </w:r>
            <w:r>
              <w:rPr>
                <w:rFonts w:hint="eastAsia" w:hAnsi="宋体" w:eastAsia="宋体" w:cs="宋体"/>
                <w:color w:val="000000"/>
                <w:kern w:val="0"/>
                <w:sz w:val="24"/>
                <w:szCs w:val="24"/>
                <w:highlight w:val="none"/>
                <w:lang w:val="en-US" w:eastAsia="zh-CN"/>
              </w:rPr>
              <w:t>7</w:t>
            </w:r>
          </w:p>
        </w:tc>
        <w:tc>
          <w:tcPr>
            <w:tcW w:w="863"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根据</w:t>
            </w:r>
            <w:r>
              <w:rPr>
                <w:rFonts w:hint="eastAsia" w:ascii="宋体" w:hAnsi="宋体" w:eastAsia="宋体" w:cs="宋体"/>
                <w:color w:val="000000"/>
                <w:kern w:val="0"/>
                <w:sz w:val="24"/>
                <w:szCs w:val="24"/>
                <w:highlight w:val="none"/>
                <w:lang w:eastAsia="zh-CN"/>
              </w:rPr>
              <w:t>投标人</w:t>
            </w:r>
            <w:r>
              <w:rPr>
                <w:rFonts w:hint="eastAsia" w:ascii="宋体" w:hAnsi="宋体" w:eastAsia="宋体" w:cs="宋体"/>
                <w:color w:val="000000"/>
                <w:kern w:val="0"/>
                <w:sz w:val="24"/>
                <w:szCs w:val="24"/>
                <w:highlight w:val="none"/>
              </w:rPr>
              <w:t>资质级别打分</w:t>
            </w:r>
          </w:p>
        </w:tc>
        <w:tc>
          <w:tcPr>
            <w:tcW w:w="2900" w:type="pct"/>
            <w:tcBorders>
              <w:top w:val="nil"/>
              <w:left w:val="nil"/>
              <w:bottom w:val="single" w:color="auto" w:sz="4" w:space="0"/>
              <w:right w:val="single" w:color="auto" w:sz="4" w:space="0"/>
            </w:tcBorders>
            <w:noWrap w:val="0"/>
            <w:vAlign w:val="top"/>
          </w:tcPr>
          <w:p>
            <w:pPr>
              <w:widowControl/>
              <w:numPr>
                <w:ilvl w:val="0"/>
                <w:numId w:val="0"/>
              </w:numPr>
              <w:jc w:val="left"/>
              <w:rPr>
                <w:rFonts w:hint="eastAsia" w:ascii="宋体" w:hAnsi="宋体" w:eastAsia="宋体" w:cs="宋体"/>
                <w:color w:val="000000"/>
                <w:kern w:val="0"/>
                <w:sz w:val="24"/>
                <w:szCs w:val="24"/>
                <w:highlight w:val="none"/>
              </w:rPr>
            </w:pPr>
            <w:r>
              <w:rPr>
                <w:rFonts w:hint="eastAsia" w:hAnsi="宋体" w:eastAsia="宋体" w:cs="宋体"/>
                <w:color w:val="000000"/>
                <w:kern w:val="0"/>
                <w:sz w:val="24"/>
                <w:szCs w:val="24"/>
                <w:highlight w:val="none"/>
                <w:lang w:val="en-US" w:eastAsia="zh-CN"/>
              </w:rPr>
              <w:t>1</w:t>
            </w:r>
            <w:r>
              <w:rPr>
                <w:rFonts w:hint="eastAsia" w:ascii="宋体" w:hAnsi="宋体" w:eastAsia="宋体" w:cs="宋体"/>
                <w:color w:val="000000"/>
                <w:kern w:val="0"/>
                <w:sz w:val="24"/>
                <w:szCs w:val="24"/>
                <w:highlight w:val="none"/>
              </w:rPr>
              <w:t>、</w:t>
            </w:r>
            <w:r>
              <w:rPr>
                <w:rFonts w:hint="eastAsia" w:ascii="宋体" w:hAnsi="宋体" w:eastAsia="宋体" w:cs="宋体"/>
                <w:color w:val="000000"/>
                <w:kern w:val="0"/>
                <w:sz w:val="24"/>
                <w:szCs w:val="24"/>
                <w:highlight w:val="none"/>
                <w:lang w:eastAsia="zh-CN"/>
              </w:rPr>
              <w:t>投标人</w:t>
            </w:r>
            <w:r>
              <w:rPr>
                <w:rFonts w:hint="eastAsia" w:ascii="宋体" w:hAnsi="宋体" w:eastAsia="宋体" w:cs="宋体"/>
                <w:color w:val="000000"/>
                <w:kern w:val="0"/>
                <w:sz w:val="24"/>
                <w:szCs w:val="24"/>
                <w:highlight w:val="none"/>
              </w:rPr>
              <w:t>具有机电工程施工总承包三级及以上证书的得2分，没有不得分；</w:t>
            </w:r>
          </w:p>
          <w:p>
            <w:pPr>
              <w:widowControl/>
              <w:jc w:val="left"/>
              <w:rPr>
                <w:rFonts w:hint="eastAsia" w:ascii="宋体" w:hAnsi="宋体" w:eastAsia="宋体" w:cs="宋体"/>
                <w:color w:val="000000"/>
                <w:kern w:val="0"/>
                <w:sz w:val="24"/>
                <w:szCs w:val="24"/>
                <w:highlight w:val="none"/>
              </w:rPr>
            </w:pPr>
            <w:r>
              <w:rPr>
                <w:rFonts w:hint="eastAsia" w:hAnsi="宋体" w:eastAsia="宋体" w:cs="宋体"/>
                <w:color w:val="000000"/>
                <w:kern w:val="0"/>
                <w:sz w:val="24"/>
                <w:szCs w:val="24"/>
                <w:highlight w:val="none"/>
                <w:lang w:val="en-US" w:eastAsia="zh-CN"/>
              </w:rPr>
              <w:t>2</w:t>
            </w:r>
            <w:r>
              <w:rPr>
                <w:rFonts w:hint="eastAsia" w:ascii="宋体" w:hAnsi="宋体" w:eastAsia="宋体" w:cs="宋体"/>
                <w:color w:val="000000"/>
                <w:kern w:val="0"/>
                <w:sz w:val="24"/>
                <w:szCs w:val="24"/>
                <w:highlight w:val="none"/>
              </w:rPr>
              <w:t>、</w:t>
            </w:r>
            <w:r>
              <w:rPr>
                <w:rFonts w:hint="eastAsia" w:ascii="宋体" w:hAnsi="宋体" w:eastAsia="宋体" w:cs="宋体"/>
                <w:color w:val="000000"/>
                <w:kern w:val="0"/>
                <w:sz w:val="24"/>
                <w:szCs w:val="24"/>
                <w:highlight w:val="none"/>
                <w:lang w:eastAsia="zh-CN"/>
              </w:rPr>
              <w:t>投标人</w:t>
            </w:r>
            <w:r>
              <w:rPr>
                <w:rFonts w:hint="eastAsia" w:ascii="宋体" w:hAnsi="宋体" w:eastAsia="宋体" w:cs="宋体"/>
                <w:color w:val="000000"/>
                <w:kern w:val="0"/>
                <w:sz w:val="24"/>
                <w:szCs w:val="24"/>
                <w:highlight w:val="none"/>
              </w:rPr>
              <w:t>具有安防工程企业设计施工维护能力壹级的得2分，没有不得分；</w:t>
            </w:r>
          </w:p>
          <w:p>
            <w:pPr>
              <w:widowControl/>
              <w:jc w:val="left"/>
              <w:rPr>
                <w:rFonts w:hint="eastAsia" w:ascii="宋体" w:hAnsi="宋体" w:eastAsia="宋体" w:cs="宋体"/>
                <w:color w:val="000000"/>
                <w:kern w:val="0"/>
                <w:sz w:val="24"/>
                <w:szCs w:val="24"/>
                <w:highlight w:val="none"/>
              </w:rPr>
            </w:pPr>
            <w:r>
              <w:rPr>
                <w:rFonts w:hint="eastAsia" w:hAnsi="宋体" w:eastAsia="宋体" w:cs="宋体"/>
                <w:color w:val="000000"/>
                <w:kern w:val="0"/>
                <w:sz w:val="24"/>
                <w:szCs w:val="24"/>
                <w:highlight w:val="none"/>
                <w:lang w:val="en-US" w:eastAsia="zh-CN"/>
              </w:rPr>
              <w:t>3</w:t>
            </w:r>
            <w:r>
              <w:rPr>
                <w:rFonts w:hint="eastAsia" w:ascii="宋体" w:hAnsi="宋体" w:eastAsia="宋体" w:cs="宋体"/>
                <w:color w:val="000000"/>
                <w:kern w:val="0"/>
                <w:sz w:val="24"/>
                <w:szCs w:val="24"/>
                <w:highlight w:val="none"/>
              </w:rPr>
              <w:t>、</w:t>
            </w:r>
            <w:r>
              <w:rPr>
                <w:rFonts w:hint="eastAsia" w:ascii="宋体" w:hAnsi="宋体" w:eastAsia="宋体" w:cs="宋体"/>
                <w:color w:val="000000"/>
                <w:kern w:val="0"/>
                <w:sz w:val="24"/>
                <w:szCs w:val="24"/>
                <w:highlight w:val="none"/>
                <w:lang w:eastAsia="zh-CN"/>
              </w:rPr>
              <w:t>投标人</w:t>
            </w:r>
            <w:r>
              <w:rPr>
                <w:rFonts w:hint="eastAsia" w:ascii="宋体" w:hAnsi="宋体" w:eastAsia="宋体" w:cs="宋体"/>
                <w:color w:val="000000"/>
                <w:kern w:val="0"/>
                <w:sz w:val="24"/>
                <w:szCs w:val="24"/>
                <w:highlight w:val="none"/>
              </w:rPr>
              <w:t>具有音视频智能系统集成工程资质壹级的得2分，没有不得分；</w:t>
            </w:r>
            <w:r>
              <w:rPr>
                <w:rFonts w:hint="eastAsia" w:ascii="宋体" w:hAnsi="宋体" w:eastAsia="宋体" w:cs="宋体"/>
                <w:color w:val="000000"/>
                <w:kern w:val="0"/>
                <w:sz w:val="24"/>
                <w:szCs w:val="24"/>
                <w:highlight w:val="none"/>
              </w:rPr>
              <w:br w:type="textWrapping"/>
            </w:r>
            <w:r>
              <w:rPr>
                <w:rFonts w:hint="eastAsia" w:hAnsi="宋体" w:eastAsia="宋体" w:cs="宋体"/>
                <w:color w:val="000000"/>
                <w:kern w:val="0"/>
                <w:sz w:val="24"/>
                <w:szCs w:val="24"/>
                <w:highlight w:val="none"/>
                <w:lang w:val="en-US" w:eastAsia="zh-CN"/>
              </w:rPr>
              <w:t>4</w:t>
            </w:r>
            <w:r>
              <w:rPr>
                <w:rFonts w:hint="eastAsia" w:ascii="宋体" w:hAnsi="宋体" w:eastAsia="宋体" w:cs="宋体"/>
                <w:color w:val="000000"/>
                <w:kern w:val="0"/>
                <w:sz w:val="24"/>
                <w:szCs w:val="24"/>
                <w:highlight w:val="none"/>
              </w:rPr>
              <w:t>、</w:t>
            </w:r>
            <w:r>
              <w:rPr>
                <w:rFonts w:hint="eastAsia" w:ascii="宋体" w:hAnsi="宋体" w:eastAsia="宋体" w:cs="宋体"/>
                <w:color w:val="000000"/>
                <w:kern w:val="0"/>
                <w:sz w:val="24"/>
                <w:szCs w:val="24"/>
                <w:highlight w:val="none"/>
                <w:lang w:eastAsia="zh-CN"/>
              </w:rPr>
              <w:t>投标人</w:t>
            </w:r>
            <w:r>
              <w:rPr>
                <w:rFonts w:hint="eastAsia" w:ascii="宋体" w:hAnsi="宋体" w:eastAsia="宋体" w:cs="宋体"/>
                <w:color w:val="000000"/>
                <w:kern w:val="0"/>
                <w:sz w:val="24"/>
                <w:szCs w:val="24"/>
                <w:highlight w:val="none"/>
              </w:rPr>
              <w:t>具有专业音响工程设计施工承包壹级的得</w:t>
            </w:r>
            <w:r>
              <w:rPr>
                <w:rFonts w:hint="eastAsia" w:ascii="宋体" w:hAnsi="宋体" w:eastAsia="宋体" w:cs="宋体"/>
                <w:color w:val="000000"/>
                <w:kern w:val="0"/>
                <w:sz w:val="24"/>
                <w:szCs w:val="24"/>
                <w:highlight w:val="none"/>
                <w:lang w:val="en-US" w:eastAsia="zh-CN"/>
              </w:rPr>
              <w:t>2</w:t>
            </w:r>
            <w:r>
              <w:rPr>
                <w:rFonts w:hint="eastAsia" w:ascii="宋体" w:hAnsi="宋体" w:eastAsia="宋体" w:cs="宋体"/>
                <w:color w:val="000000"/>
                <w:kern w:val="0"/>
                <w:sz w:val="24"/>
                <w:szCs w:val="24"/>
                <w:highlight w:val="none"/>
              </w:rPr>
              <w:t>分，没有不得分；</w:t>
            </w:r>
          </w:p>
          <w:p>
            <w:pPr>
              <w:widowControl/>
              <w:jc w:val="left"/>
              <w:rPr>
                <w:rFonts w:hint="eastAsia" w:ascii="宋体" w:hAnsi="宋体" w:eastAsia="宋体" w:cs="宋体"/>
                <w:color w:val="000000"/>
                <w:kern w:val="0"/>
                <w:sz w:val="24"/>
                <w:szCs w:val="24"/>
                <w:highlight w:val="none"/>
              </w:rPr>
            </w:pPr>
            <w:r>
              <w:rPr>
                <w:rFonts w:hint="eastAsia" w:hAnsi="宋体" w:eastAsia="宋体" w:cs="宋体"/>
                <w:color w:val="000000"/>
                <w:kern w:val="0"/>
                <w:sz w:val="24"/>
                <w:szCs w:val="24"/>
                <w:highlight w:val="none"/>
                <w:lang w:val="en-US" w:eastAsia="zh-CN"/>
              </w:rPr>
              <w:t>5</w:t>
            </w:r>
            <w:r>
              <w:rPr>
                <w:rFonts w:hint="eastAsia" w:ascii="宋体" w:hAnsi="宋体" w:eastAsia="宋体" w:cs="宋体"/>
                <w:color w:val="000000"/>
                <w:kern w:val="0"/>
                <w:sz w:val="24"/>
                <w:szCs w:val="24"/>
                <w:highlight w:val="none"/>
              </w:rPr>
              <w:t>、</w:t>
            </w:r>
            <w:r>
              <w:rPr>
                <w:rFonts w:hint="eastAsia" w:ascii="宋体" w:hAnsi="宋体" w:eastAsia="宋体" w:cs="宋体"/>
                <w:color w:val="000000"/>
                <w:kern w:val="0"/>
                <w:sz w:val="24"/>
                <w:szCs w:val="24"/>
                <w:highlight w:val="none"/>
                <w:lang w:eastAsia="zh-CN"/>
              </w:rPr>
              <w:t>投标人</w:t>
            </w:r>
            <w:r>
              <w:rPr>
                <w:rFonts w:hint="eastAsia" w:ascii="宋体" w:hAnsi="宋体" w:eastAsia="宋体" w:cs="宋体"/>
                <w:color w:val="000000"/>
                <w:kern w:val="0"/>
                <w:sz w:val="24"/>
                <w:szCs w:val="24"/>
                <w:highlight w:val="none"/>
              </w:rPr>
              <w:t>同时具有ISO9001质量管理体系认证证书、ISO14001环境管理体系认证证书、IEC27001信息安全管理体系认证证书、IEC20000信息技术服务管理体系认证证书、OHSAS18001职业健康安全管理体系认证证书，得5分，缺一项不得分；</w:t>
            </w:r>
            <w:r>
              <w:rPr>
                <w:rFonts w:hint="eastAsia" w:ascii="宋体" w:hAnsi="宋体" w:eastAsia="宋体" w:cs="宋体"/>
                <w:color w:val="000000"/>
                <w:kern w:val="0"/>
                <w:sz w:val="24"/>
                <w:szCs w:val="24"/>
                <w:highlight w:val="none"/>
              </w:rPr>
              <w:br w:type="textWrapping"/>
            </w:r>
            <w:r>
              <w:rPr>
                <w:rFonts w:hint="eastAsia" w:hAnsi="宋体" w:eastAsia="宋体" w:cs="宋体"/>
                <w:color w:val="000000"/>
                <w:kern w:val="0"/>
                <w:sz w:val="24"/>
                <w:szCs w:val="24"/>
                <w:highlight w:val="none"/>
                <w:lang w:val="en-US" w:eastAsia="zh-CN"/>
              </w:rPr>
              <w:t>6</w:t>
            </w:r>
            <w:r>
              <w:rPr>
                <w:rFonts w:hint="eastAsia" w:ascii="宋体" w:hAnsi="宋体" w:eastAsia="宋体" w:cs="宋体"/>
                <w:color w:val="000000"/>
                <w:kern w:val="0"/>
                <w:sz w:val="24"/>
                <w:szCs w:val="24"/>
                <w:highlight w:val="none"/>
              </w:rPr>
              <w:t>、</w:t>
            </w:r>
            <w:r>
              <w:rPr>
                <w:rFonts w:hint="eastAsia" w:ascii="宋体" w:hAnsi="宋体" w:eastAsia="宋体" w:cs="宋体"/>
                <w:color w:val="000000"/>
                <w:kern w:val="0"/>
                <w:sz w:val="24"/>
                <w:szCs w:val="24"/>
                <w:highlight w:val="none"/>
                <w:lang w:eastAsia="zh-CN"/>
              </w:rPr>
              <w:t>投标人</w:t>
            </w:r>
            <w:r>
              <w:rPr>
                <w:rFonts w:hint="eastAsia" w:ascii="宋体" w:hAnsi="宋体" w:eastAsia="宋体" w:cs="宋体"/>
                <w:color w:val="000000"/>
                <w:kern w:val="0"/>
                <w:sz w:val="24"/>
                <w:szCs w:val="24"/>
                <w:highlight w:val="none"/>
              </w:rPr>
              <w:t>具有信息技术服务运行维护标准符合性叁级及以上证书（ITSS证书）的得</w:t>
            </w:r>
            <w:r>
              <w:rPr>
                <w:rFonts w:hint="eastAsia" w:ascii="宋体" w:hAnsi="宋体" w:eastAsia="宋体" w:cs="宋体"/>
                <w:color w:val="000000"/>
                <w:kern w:val="0"/>
                <w:sz w:val="24"/>
                <w:szCs w:val="24"/>
                <w:highlight w:val="none"/>
                <w:lang w:val="en-US" w:eastAsia="zh-CN"/>
              </w:rPr>
              <w:t>2</w:t>
            </w:r>
            <w:r>
              <w:rPr>
                <w:rFonts w:hint="eastAsia" w:ascii="宋体" w:hAnsi="宋体" w:eastAsia="宋体" w:cs="宋体"/>
                <w:color w:val="000000"/>
                <w:kern w:val="0"/>
                <w:sz w:val="24"/>
                <w:szCs w:val="24"/>
                <w:highlight w:val="none"/>
              </w:rPr>
              <w:t>分；</w:t>
            </w:r>
            <w:r>
              <w:rPr>
                <w:rFonts w:hint="eastAsia" w:ascii="宋体" w:hAnsi="宋体" w:eastAsia="宋体" w:cs="宋体"/>
                <w:color w:val="000000"/>
                <w:kern w:val="0"/>
                <w:sz w:val="24"/>
                <w:szCs w:val="24"/>
                <w:highlight w:val="none"/>
              </w:rPr>
              <w:br w:type="textWrapping"/>
            </w:r>
            <w:r>
              <w:rPr>
                <w:rFonts w:hint="eastAsia" w:hAnsi="宋体" w:eastAsia="宋体" w:cs="宋体"/>
                <w:color w:val="000000"/>
                <w:kern w:val="0"/>
                <w:sz w:val="24"/>
                <w:szCs w:val="24"/>
                <w:highlight w:val="none"/>
                <w:lang w:val="en-US" w:eastAsia="zh-CN"/>
              </w:rPr>
              <w:t>7</w:t>
            </w:r>
            <w:r>
              <w:rPr>
                <w:rFonts w:hint="eastAsia" w:ascii="宋体" w:hAnsi="宋体" w:eastAsia="宋体" w:cs="宋体"/>
                <w:color w:val="000000"/>
                <w:kern w:val="0"/>
                <w:sz w:val="24"/>
                <w:szCs w:val="24"/>
                <w:highlight w:val="none"/>
              </w:rPr>
              <w:t>、</w:t>
            </w:r>
            <w:r>
              <w:rPr>
                <w:rFonts w:hint="eastAsia" w:ascii="宋体" w:hAnsi="宋体" w:eastAsia="宋体" w:cs="宋体"/>
                <w:color w:val="000000"/>
                <w:kern w:val="0"/>
                <w:sz w:val="24"/>
                <w:szCs w:val="24"/>
                <w:highlight w:val="none"/>
                <w:lang w:eastAsia="zh-CN"/>
              </w:rPr>
              <w:t>投标人</w:t>
            </w:r>
            <w:r>
              <w:rPr>
                <w:rFonts w:hint="eastAsia" w:ascii="宋体" w:hAnsi="宋体" w:eastAsia="宋体" w:cs="宋体"/>
                <w:color w:val="000000"/>
                <w:kern w:val="0"/>
                <w:sz w:val="24"/>
                <w:szCs w:val="24"/>
                <w:highlight w:val="none"/>
              </w:rPr>
              <w:t>具有CMMI3及以上证书的得</w:t>
            </w:r>
            <w:r>
              <w:rPr>
                <w:rFonts w:hint="eastAsia" w:ascii="宋体" w:hAnsi="宋体" w:eastAsia="宋体" w:cs="宋体"/>
                <w:color w:val="000000"/>
                <w:kern w:val="0"/>
                <w:sz w:val="24"/>
                <w:szCs w:val="24"/>
                <w:highlight w:val="none"/>
                <w:lang w:val="en-US" w:eastAsia="zh-CN"/>
              </w:rPr>
              <w:t>2</w:t>
            </w:r>
            <w:r>
              <w:rPr>
                <w:rFonts w:hint="eastAsia" w:ascii="宋体" w:hAnsi="宋体" w:eastAsia="宋体" w:cs="宋体"/>
                <w:color w:val="000000"/>
                <w:kern w:val="0"/>
                <w:sz w:val="24"/>
                <w:szCs w:val="24"/>
                <w:highlight w:val="none"/>
              </w:rPr>
              <w:t>分，没有不得分；</w:t>
            </w:r>
          </w:p>
          <w:p>
            <w:pPr>
              <w:rPr>
                <w:rFonts w:hint="default" w:ascii="宋体" w:hAnsi="宋体" w:eastAsia="宋体" w:cs="宋体"/>
                <w:b/>
                <w:sz w:val="24"/>
                <w:szCs w:val="24"/>
                <w:highlight w:val="none"/>
                <w:lang w:val="en-US" w:eastAsia="zh-CN"/>
              </w:rPr>
            </w:pPr>
            <w:r>
              <w:rPr>
                <w:rFonts w:hint="eastAsia" w:ascii="宋体" w:hAnsi="宋体" w:eastAsia="宋体" w:cs="宋体"/>
                <w:b/>
                <w:color w:val="FF0000"/>
                <w:kern w:val="0"/>
                <w:sz w:val="24"/>
                <w:szCs w:val="24"/>
                <w:highlight w:val="none"/>
              </w:rPr>
              <w:t>以上证书提供相应的证书原件或响应文件正本提供彩色复印件</w:t>
            </w:r>
            <w:r>
              <w:rPr>
                <w:rFonts w:hint="eastAsia" w:hAnsi="宋体" w:eastAsia="宋体" w:cs="宋体"/>
                <w:b/>
                <w:color w:val="FF0000"/>
                <w:kern w:val="0"/>
                <w:sz w:val="24"/>
                <w:szCs w:val="24"/>
                <w:highlight w:val="none"/>
                <w:lang w:eastAsia="zh-CN"/>
              </w:rPr>
              <w:t>，</w:t>
            </w:r>
            <w:r>
              <w:rPr>
                <w:rFonts w:hint="eastAsia" w:hAnsi="宋体" w:eastAsia="宋体" w:cs="宋体"/>
                <w:b/>
                <w:color w:val="FF0000"/>
                <w:kern w:val="0"/>
                <w:sz w:val="24"/>
                <w:szCs w:val="24"/>
                <w:highlight w:val="none"/>
                <w:lang w:val="en-US" w:eastAsia="zh-CN"/>
              </w:rPr>
              <w:t>否则不得分。</w:t>
            </w:r>
          </w:p>
        </w:tc>
      </w:tr>
      <w:tr>
        <w:tblPrEx>
          <w:tblCellMar>
            <w:top w:w="0" w:type="dxa"/>
            <w:left w:w="108" w:type="dxa"/>
            <w:bottom w:w="0" w:type="dxa"/>
            <w:right w:w="108" w:type="dxa"/>
          </w:tblCellMar>
        </w:tblPrEx>
        <w:trPr>
          <w:trHeight w:val="558" w:hRule="atLeast"/>
        </w:trPr>
        <w:tc>
          <w:tcPr>
            <w:tcW w:w="294" w:type="pc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4"/>
                <w:szCs w:val="24"/>
                <w:highlight w:val="none"/>
              </w:rPr>
            </w:pPr>
          </w:p>
        </w:tc>
        <w:tc>
          <w:tcPr>
            <w:tcW w:w="471"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企业信誉</w:t>
            </w:r>
          </w:p>
        </w:tc>
        <w:tc>
          <w:tcPr>
            <w:tcW w:w="469"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4"/>
                <w:szCs w:val="24"/>
                <w:highlight w:val="none"/>
                <w:lang w:eastAsia="zh-CN"/>
              </w:rPr>
            </w:pPr>
            <w:r>
              <w:rPr>
                <w:rFonts w:hint="eastAsia" w:hAnsi="宋体" w:eastAsia="宋体" w:cs="宋体"/>
                <w:kern w:val="0"/>
                <w:sz w:val="24"/>
                <w:szCs w:val="24"/>
                <w:highlight w:val="none"/>
                <w:lang w:val="en-US" w:eastAsia="zh-CN"/>
              </w:rPr>
              <w:t>2</w:t>
            </w:r>
          </w:p>
        </w:tc>
        <w:tc>
          <w:tcPr>
            <w:tcW w:w="863"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根据</w:t>
            </w:r>
            <w:r>
              <w:rPr>
                <w:rFonts w:hint="eastAsia" w:ascii="宋体" w:hAnsi="宋体" w:eastAsia="宋体" w:cs="宋体"/>
                <w:kern w:val="0"/>
                <w:sz w:val="24"/>
                <w:szCs w:val="24"/>
                <w:highlight w:val="none"/>
                <w:lang w:eastAsia="zh-CN"/>
              </w:rPr>
              <w:t>投标人</w:t>
            </w:r>
            <w:r>
              <w:rPr>
                <w:rFonts w:hint="eastAsia" w:ascii="宋体" w:hAnsi="宋体" w:eastAsia="宋体" w:cs="宋体"/>
                <w:kern w:val="0"/>
                <w:sz w:val="24"/>
                <w:szCs w:val="24"/>
                <w:highlight w:val="none"/>
              </w:rPr>
              <w:t>的相关信誉证书</w:t>
            </w:r>
            <w:r>
              <w:rPr>
                <w:rFonts w:hint="eastAsia" w:ascii="宋体" w:hAnsi="宋体" w:eastAsia="宋体" w:cs="宋体"/>
                <w:color w:val="000000"/>
                <w:kern w:val="0"/>
                <w:sz w:val="24"/>
                <w:szCs w:val="24"/>
                <w:highlight w:val="none"/>
              </w:rPr>
              <w:t>打分</w:t>
            </w:r>
          </w:p>
        </w:tc>
        <w:tc>
          <w:tcPr>
            <w:tcW w:w="2900" w:type="pct"/>
            <w:tcBorders>
              <w:top w:val="nil"/>
              <w:left w:val="nil"/>
              <w:bottom w:val="single" w:color="auto" w:sz="4" w:space="0"/>
              <w:right w:val="single" w:color="auto" w:sz="4" w:space="0"/>
            </w:tcBorders>
            <w:noWrap w:val="0"/>
            <w:vAlign w:val="top"/>
          </w:tcPr>
          <w:p>
            <w:pPr>
              <w:widowControl/>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w:t>
            </w:r>
            <w:r>
              <w:rPr>
                <w:rFonts w:hint="eastAsia" w:ascii="宋体" w:hAnsi="宋体" w:eastAsia="宋体" w:cs="宋体"/>
                <w:sz w:val="24"/>
                <w:szCs w:val="24"/>
                <w:highlight w:val="none"/>
              </w:rPr>
              <w:t>投标人具有市级及以上部门发布的“守合同重信用”证书的得</w:t>
            </w:r>
            <w:r>
              <w:rPr>
                <w:rFonts w:hint="eastAsia" w:hAnsi="宋体" w:eastAsia="宋体" w:cs="宋体"/>
                <w:sz w:val="24"/>
                <w:szCs w:val="24"/>
                <w:highlight w:val="none"/>
                <w:lang w:val="en-US" w:eastAsia="zh-CN"/>
              </w:rPr>
              <w:t>1</w:t>
            </w:r>
            <w:r>
              <w:rPr>
                <w:rFonts w:hint="eastAsia" w:ascii="宋体" w:hAnsi="宋体" w:eastAsia="宋体" w:cs="宋体"/>
                <w:sz w:val="24"/>
                <w:szCs w:val="24"/>
                <w:highlight w:val="none"/>
              </w:rPr>
              <w:t>分</w:t>
            </w:r>
          </w:p>
          <w:p>
            <w:pPr>
              <w:widowControl/>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w:t>
            </w:r>
            <w:r>
              <w:rPr>
                <w:rFonts w:hint="eastAsia" w:ascii="宋体" w:hAnsi="宋体" w:eastAsia="宋体" w:cs="宋体"/>
                <w:kern w:val="0"/>
                <w:sz w:val="24"/>
                <w:szCs w:val="24"/>
                <w:highlight w:val="none"/>
                <w:lang w:eastAsia="zh-CN"/>
              </w:rPr>
              <w:t>投标人</w:t>
            </w:r>
            <w:r>
              <w:rPr>
                <w:rFonts w:hint="eastAsia" w:ascii="宋体" w:hAnsi="宋体" w:eastAsia="宋体" w:cs="宋体"/>
                <w:kern w:val="0"/>
                <w:sz w:val="24"/>
                <w:szCs w:val="24"/>
                <w:highlight w:val="none"/>
              </w:rPr>
              <w:t>具有企业信用等级证书AAA得</w:t>
            </w:r>
            <w:r>
              <w:rPr>
                <w:rFonts w:hint="eastAsia" w:hAnsi="宋体" w:eastAsia="宋体" w:cs="宋体"/>
                <w:kern w:val="0"/>
                <w:sz w:val="24"/>
                <w:szCs w:val="24"/>
                <w:highlight w:val="none"/>
                <w:lang w:val="en-US" w:eastAsia="zh-CN"/>
              </w:rPr>
              <w:t>1</w:t>
            </w:r>
            <w:r>
              <w:rPr>
                <w:rFonts w:hint="eastAsia" w:ascii="宋体" w:hAnsi="宋体" w:eastAsia="宋体" w:cs="宋体"/>
                <w:kern w:val="0"/>
                <w:sz w:val="24"/>
                <w:szCs w:val="24"/>
                <w:highlight w:val="none"/>
              </w:rPr>
              <w:t>分，没有不得分；</w:t>
            </w:r>
          </w:p>
        </w:tc>
      </w:tr>
      <w:tr>
        <w:tblPrEx>
          <w:tblCellMar>
            <w:top w:w="0" w:type="dxa"/>
            <w:left w:w="108" w:type="dxa"/>
            <w:bottom w:w="0" w:type="dxa"/>
            <w:right w:w="108" w:type="dxa"/>
          </w:tblCellMar>
        </w:tblPrEx>
        <w:trPr>
          <w:trHeight w:val="1905" w:hRule="atLeast"/>
        </w:trPr>
        <w:tc>
          <w:tcPr>
            <w:tcW w:w="294" w:type="pc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w:t>
            </w:r>
          </w:p>
        </w:tc>
        <w:tc>
          <w:tcPr>
            <w:tcW w:w="471"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企业业绩</w:t>
            </w:r>
          </w:p>
        </w:tc>
        <w:tc>
          <w:tcPr>
            <w:tcW w:w="469" w:type="pct"/>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color w:val="FF0000"/>
                <w:kern w:val="0"/>
                <w:sz w:val="24"/>
                <w:szCs w:val="24"/>
                <w:highlight w:val="none"/>
              </w:rPr>
            </w:pPr>
            <w:r>
              <w:rPr>
                <w:rFonts w:hint="eastAsia" w:ascii="宋体" w:hAnsi="宋体" w:eastAsia="宋体" w:cs="宋体"/>
                <w:color w:val="000000"/>
                <w:kern w:val="0"/>
                <w:sz w:val="24"/>
                <w:szCs w:val="24"/>
                <w:highlight w:val="none"/>
              </w:rPr>
              <w:t>2</w:t>
            </w:r>
          </w:p>
        </w:tc>
        <w:tc>
          <w:tcPr>
            <w:tcW w:w="863"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FF0000"/>
                <w:kern w:val="0"/>
                <w:sz w:val="24"/>
                <w:szCs w:val="24"/>
                <w:highlight w:val="none"/>
              </w:rPr>
            </w:pPr>
            <w:r>
              <w:rPr>
                <w:rFonts w:hint="eastAsia" w:ascii="宋体" w:hAnsi="宋体" w:eastAsia="宋体" w:cs="宋体"/>
                <w:color w:val="000000"/>
                <w:kern w:val="0"/>
                <w:sz w:val="24"/>
                <w:szCs w:val="24"/>
                <w:highlight w:val="none"/>
              </w:rPr>
              <w:t>智能化项目业绩</w:t>
            </w:r>
          </w:p>
        </w:tc>
        <w:tc>
          <w:tcPr>
            <w:tcW w:w="2900" w:type="pct"/>
            <w:tcBorders>
              <w:top w:val="nil"/>
              <w:left w:val="nil"/>
              <w:bottom w:val="single" w:color="auto" w:sz="4" w:space="0"/>
              <w:right w:val="single" w:color="auto" w:sz="4" w:space="0"/>
            </w:tcBorders>
            <w:noWrap w:val="0"/>
            <w:vAlign w:val="center"/>
          </w:tcPr>
          <w:p>
            <w:pPr>
              <w:autoSpaceDE w:val="0"/>
              <w:autoSpaceDN w:val="0"/>
              <w:adjustRightInd w:val="0"/>
              <w:jc w:val="left"/>
              <w:rPr>
                <w:rFonts w:hint="default" w:ascii="宋体" w:hAnsi="宋体" w:eastAsia="宋体" w:cs="宋体"/>
                <w:kern w:val="0"/>
                <w:sz w:val="24"/>
                <w:szCs w:val="24"/>
                <w:highlight w:val="none"/>
                <w:lang w:val="en-US"/>
              </w:rPr>
            </w:pPr>
            <w:r>
              <w:rPr>
                <w:rFonts w:hint="eastAsia" w:hAnsi="宋体" w:eastAsia="宋体" w:cs="宋体"/>
                <w:color w:val="000000"/>
                <w:kern w:val="0"/>
                <w:sz w:val="24"/>
                <w:szCs w:val="24"/>
                <w:highlight w:val="none"/>
                <w:lang w:val="en-US" w:eastAsia="zh-CN"/>
              </w:rPr>
              <w:t>投标人具有</w:t>
            </w:r>
            <w:r>
              <w:rPr>
                <w:rFonts w:hint="eastAsia" w:ascii="宋体" w:hAnsi="宋体" w:eastAsia="宋体" w:cs="宋体"/>
                <w:color w:val="000000"/>
                <w:kern w:val="0"/>
                <w:sz w:val="24"/>
                <w:szCs w:val="24"/>
                <w:highlight w:val="none"/>
              </w:rPr>
              <w:t>201</w:t>
            </w:r>
            <w:r>
              <w:rPr>
                <w:rFonts w:hint="eastAsia" w:hAnsi="宋体" w:eastAsia="宋体" w:cs="宋体"/>
                <w:color w:val="000000"/>
                <w:kern w:val="0"/>
                <w:sz w:val="24"/>
                <w:szCs w:val="24"/>
                <w:highlight w:val="none"/>
                <w:lang w:val="en-US" w:eastAsia="zh-CN"/>
              </w:rPr>
              <w:t>5</w:t>
            </w:r>
            <w:r>
              <w:rPr>
                <w:rFonts w:hint="eastAsia" w:ascii="宋体" w:hAnsi="宋体" w:eastAsia="宋体" w:cs="宋体"/>
                <w:color w:val="000000"/>
                <w:kern w:val="0"/>
                <w:sz w:val="24"/>
                <w:szCs w:val="24"/>
                <w:highlight w:val="none"/>
              </w:rPr>
              <w:t>年1月1日以来</w:t>
            </w:r>
            <w:r>
              <w:rPr>
                <w:rFonts w:hint="eastAsia" w:hAnsi="宋体" w:eastAsia="宋体" w:cs="宋体"/>
                <w:color w:val="000000"/>
                <w:kern w:val="0"/>
                <w:sz w:val="24"/>
                <w:szCs w:val="24"/>
                <w:highlight w:val="none"/>
                <w:lang w:eastAsia="zh-CN"/>
              </w:rPr>
              <w:t>（</w:t>
            </w:r>
            <w:r>
              <w:rPr>
                <w:rFonts w:hint="eastAsia" w:hAnsi="宋体" w:eastAsia="宋体" w:cs="宋体"/>
                <w:color w:val="000000"/>
                <w:kern w:val="0"/>
                <w:sz w:val="24"/>
                <w:szCs w:val="24"/>
                <w:highlight w:val="none"/>
                <w:lang w:val="en-US" w:eastAsia="zh-CN"/>
              </w:rPr>
              <w:t>以合同签字时间为准</w:t>
            </w:r>
            <w:r>
              <w:rPr>
                <w:rFonts w:hint="eastAsia" w:hAnsi="宋体" w:eastAsia="宋体" w:cs="宋体"/>
                <w:color w:val="000000"/>
                <w:kern w:val="0"/>
                <w:sz w:val="24"/>
                <w:szCs w:val="24"/>
                <w:highlight w:val="none"/>
                <w:lang w:eastAsia="zh-CN"/>
              </w:rPr>
              <w:t>）</w:t>
            </w:r>
            <w:r>
              <w:rPr>
                <w:rFonts w:hint="eastAsia" w:hAnsi="宋体" w:eastAsia="宋体" w:cs="宋体"/>
                <w:color w:val="000000"/>
                <w:kern w:val="0"/>
                <w:sz w:val="24"/>
                <w:szCs w:val="24"/>
                <w:highlight w:val="none"/>
                <w:lang w:val="en-US" w:eastAsia="zh-CN"/>
              </w:rPr>
              <w:t>承担过类似智能化项目（采购安装或工程）业绩的，每有1个得1分，本项最高的2分。</w:t>
            </w:r>
            <w:r>
              <w:rPr>
                <w:rFonts w:hint="eastAsia" w:hAnsi="宋体" w:eastAsia="宋体" w:cs="宋体"/>
                <w:b/>
                <w:bCs/>
                <w:color w:val="FF0000"/>
                <w:kern w:val="0"/>
                <w:sz w:val="24"/>
                <w:szCs w:val="24"/>
                <w:highlight w:val="none"/>
                <w:lang w:val="en-US" w:eastAsia="zh-CN"/>
              </w:rPr>
              <w:t>（提供合同原件或响应文件正本提供彩色复印件。）</w:t>
            </w:r>
          </w:p>
        </w:tc>
      </w:tr>
      <w:tr>
        <w:tblPrEx>
          <w:tblCellMar>
            <w:top w:w="0" w:type="dxa"/>
            <w:left w:w="108" w:type="dxa"/>
            <w:bottom w:w="0" w:type="dxa"/>
            <w:right w:w="108" w:type="dxa"/>
          </w:tblCellMar>
        </w:tblPrEx>
        <w:trPr>
          <w:trHeight w:val="360" w:hRule="atLeast"/>
        </w:trPr>
        <w:tc>
          <w:tcPr>
            <w:tcW w:w="294" w:type="pc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三</w:t>
            </w:r>
          </w:p>
        </w:tc>
        <w:tc>
          <w:tcPr>
            <w:tcW w:w="4705" w:type="pct"/>
            <w:gridSpan w:val="4"/>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技术方案及设备性能（</w:t>
            </w:r>
            <w:r>
              <w:rPr>
                <w:rFonts w:hint="eastAsia" w:hAnsi="宋体" w:eastAsia="宋体" w:cs="宋体"/>
                <w:kern w:val="0"/>
                <w:sz w:val="24"/>
                <w:szCs w:val="24"/>
                <w:highlight w:val="none"/>
                <w:lang w:val="en-US" w:eastAsia="zh-CN"/>
              </w:rPr>
              <w:t>38</w:t>
            </w:r>
            <w:r>
              <w:rPr>
                <w:rFonts w:hint="eastAsia" w:ascii="宋体" w:hAnsi="宋体" w:eastAsia="宋体" w:cs="宋体"/>
                <w:kern w:val="0"/>
                <w:sz w:val="24"/>
                <w:szCs w:val="24"/>
                <w:highlight w:val="none"/>
              </w:rPr>
              <w:t>分）</w:t>
            </w:r>
          </w:p>
        </w:tc>
      </w:tr>
      <w:tr>
        <w:tblPrEx>
          <w:tblCellMar>
            <w:top w:w="0" w:type="dxa"/>
            <w:left w:w="108" w:type="dxa"/>
            <w:bottom w:w="0" w:type="dxa"/>
            <w:right w:w="108" w:type="dxa"/>
          </w:tblCellMar>
        </w:tblPrEx>
        <w:trPr>
          <w:trHeight w:val="1320" w:hRule="atLeast"/>
        </w:trPr>
        <w:tc>
          <w:tcPr>
            <w:tcW w:w="294" w:type="pc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w:t>
            </w:r>
          </w:p>
        </w:tc>
        <w:tc>
          <w:tcPr>
            <w:tcW w:w="471"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技术方案</w:t>
            </w:r>
          </w:p>
        </w:tc>
        <w:tc>
          <w:tcPr>
            <w:tcW w:w="469"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3</w:t>
            </w:r>
          </w:p>
        </w:tc>
        <w:tc>
          <w:tcPr>
            <w:tcW w:w="863"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根据</w:t>
            </w:r>
            <w:r>
              <w:rPr>
                <w:rFonts w:hint="eastAsia" w:ascii="宋体" w:hAnsi="宋体" w:eastAsia="宋体" w:cs="宋体"/>
                <w:kern w:val="0"/>
                <w:sz w:val="24"/>
                <w:szCs w:val="24"/>
                <w:highlight w:val="none"/>
                <w:lang w:eastAsia="zh-CN"/>
              </w:rPr>
              <w:t>投标人</w:t>
            </w:r>
            <w:r>
              <w:rPr>
                <w:rFonts w:hint="eastAsia" w:ascii="宋体" w:hAnsi="宋体" w:eastAsia="宋体" w:cs="宋体"/>
                <w:kern w:val="0"/>
                <w:sz w:val="24"/>
                <w:szCs w:val="24"/>
                <w:highlight w:val="none"/>
              </w:rPr>
              <w:t>提供的</w:t>
            </w:r>
            <w:r>
              <w:rPr>
                <w:rFonts w:hint="eastAsia" w:ascii="宋体" w:hAnsi="宋体" w:eastAsia="宋体" w:cs="宋体"/>
                <w:sz w:val="24"/>
                <w:szCs w:val="24"/>
                <w:highlight w:val="none"/>
              </w:rPr>
              <w:t>系统设备的供货、运输、安装、调试方案的详尽性、合理性，是否有应急预案，评分</w:t>
            </w:r>
          </w:p>
        </w:tc>
        <w:tc>
          <w:tcPr>
            <w:tcW w:w="2900"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kern w:val="0"/>
                <w:sz w:val="24"/>
                <w:szCs w:val="24"/>
                <w:highlight w:val="none"/>
              </w:rPr>
            </w:pPr>
            <w:r>
              <w:rPr>
                <w:rFonts w:hint="eastAsia" w:hAnsi="宋体" w:eastAsia="宋体" w:cs="宋体"/>
                <w:kern w:val="0"/>
                <w:sz w:val="24"/>
                <w:szCs w:val="24"/>
                <w:highlight w:val="none"/>
                <w:lang w:val="en-US" w:eastAsia="zh-CN"/>
              </w:rPr>
              <w:t>优得3分，良得2分，一般得1分，差或</w:t>
            </w:r>
            <w:r>
              <w:rPr>
                <w:rFonts w:hint="eastAsia" w:ascii="宋体" w:hAnsi="宋体" w:eastAsia="宋体" w:cs="宋体"/>
                <w:kern w:val="0"/>
                <w:sz w:val="24"/>
                <w:szCs w:val="24"/>
                <w:highlight w:val="none"/>
              </w:rPr>
              <w:t>不提供</w:t>
            </w:r>
            <w:r>
              <w:rPr>
                <w:rFonts w:hint="eastAsia" w:hAnsi="宋体" w:eastAsia="宋体" w:cs="宋体"/>
                <w:kern w:val="0"/>
                <w:sz w:val="24"/>
                <w:szCs w:val="24"/>
                <w:highlight w:val="none"/>
                <w:lang w:val="en-US" w:eastAsia="zh-CN"/>
              </w:rPr>
              <w:t>得0分</w:t>
            </w:r>
            <w:r>
              <w:rPr>
                <w:rFonts w:hint="eastAsia" w:ascii="宋体" w:hAnsi="宋体" w:eastAsia="宋体" w:cs="宋体"/>
                <w:kern w:val="0"/>
                <w:sz w:val="24"/>
                <w:szCs w:val="24"/>
                <w:highlight w:val="none"/>
              </w:rPr>
              <w:t>。</w:t>
            </w:r>
          </w:p>
        </w:tc>
      </w:tr>
      <w:tr>
        <w:tblPrEx>
          <w:tblCellMar>
            <w:top w:w="0" w:type="dxa"/>
            <w:left w:w="108" w:type="dxa"/>
            <w:bottom w:w="0" w:type="dxa"/>
            <w:right w:w="108" w:type="dxa"/>
          </w:tblCellMar>
        </w:tblPrEx>
        <w:trPr>
          <w:trHeight w:val="1320" w:hRule="atLeast"/>
        </w:trPr>
        <w:tc>
          <w:tcPr>
            <w:tcW w:w="294" w:type="pc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w:t>
            </w:r>
          </w:p>
        </w:tc>
        <w:tc>
          <w:tcPr>
            <w:tcW w:w="471"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项目实施方案</w:t>
            </w:r>
          </w:p>
        </w:tc>
        <w:tc>
          <w:tcPr>
            <w:tcW w:w="469"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w:t>
            </w:r>
          </w:p>
        </w:tc>
        <w:tc>
          <w:tcPr>
            <w:tcW w:w="863"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lang w:eastAsia="zh-CN"/>
              </w:rPr>
              <w:t>投标人</w:t>
            </w:r>
            <w:r>
              <w:rPr>
                <w:rFonts w:hint="eastAsia" w:ascii="宋体" w:hAnsi="宋体" w:eastAsia="宋体" w:cs="宋体"/>
                <w:color w:val="000000"/>
                <w:kern w:val="0"/>
                <w:sz w:val="24"/>
                <w:szCs w:val="24"/>
                <w:highlight w:val="none"/>
              </w:rPr>
              <w:t>提供项目的实施方案、测试方案、验收方案及实施计划，根据投标人的方案完整性、详细程度和可行性进行评分。</w:t>
            </w:r>
          </w:p>
        </w:tc>
        <w:tc>
          <w:tcPr>
            <w:tcW w:w="2900" w:type="pct"/>
            <w:tcBorders>
              <w:top w:val="nil"/>
              <w:left w:val="nil"/>
              <w:bottom w:val="single" w:color="auto" w:sz="4" w:space="0"/>
              <w:right w:val="single" w:color="auto" w:sz="4" w:space="0"/>
            </w:tcBorders>
            <w:noWrap w:val="0"/>
            <w:vAlign w:val="center"/>
          </w:tcPr>
          <w:p>
            <w:pPr>
              <w:autoSpaceDE w:val="0"/>
              <w:autoSpaceDN w:val="0"/>
              <w:adjustRightInd w:val="0"/>
              <w:jc w:val="left"/>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1、项目实施方案的描述完整、详细，具备可行性，完全能满足采购人的要求，得2分；</w:t>
            </w:r>
            <w:r>
              <w:rPr>
                <w:rFonts w:hint="eastAsia" w:ascii="宋体" w:hAnsi="宋体" w:eastAsia="宋体" w:cs="宋体"/>
                <w:color w:val="000000"/>
                <w:kern w:val="0"/>
                <w:sz w:val="24"/>
                <w:szCs w:val="24"/>
                <w:highlight w:val="none"/>
              </w:rPr>
              <w:br w:type="textWrapping"/>
            </w:r>
            <w:r>
              <w:rPr>
                <w:rFonts w:hint="eastAsia" w:ascii="宋体" w:hAnsi="宋体" w:eastAsia="宋体" w:cs="宋体"/>
                <w:color w:val="000000"/>
                <w:kern w:val="0"/>
                <w:sz w:val="24"/>
                <w:szCs w:val="24"/>
                <w:highlight w:val="none"/>
              </w:rPr>
              <w:t>2、项目实施方案的描述及方案可行性一般，勉强满足采购人的要求，得1分；</w:t>
            </w:r>
            <w:r>
              <w:rPr>
                <w:rFonts w:hint="eastAsia" w:ascii="宋体" w:hAnsi="宋体" w:eastAsia="宋体" w:cs="宋体"/>
                <w:color w:val="000000"/>
                <w:kern w:val="0"/>
                <w:sz w:val="24"/>
                <w:szCs w:val="24"/>
                <w:highlight w:val="none"/>
              </w:rPr>
              <w:br w:type="textWrapping"/>
            </w:r>
            <w:r>
              <w:rPr>
                <w:rFonts w:hint="eastAsia" w:ascii="宋体" w:hAnsi="宋体" w:eastAsia="宋体" w:cs="宋体"/>
                <w:color w:val="000000"/>
                <w:kern w:val="0"/>
                <w:sz w:val="24"/>
                <w:szCs w:val="24"/>
                <w:highlight w:val="none"/>
              </w:rPr>
              <w:t>3、项目实施方案的描述及方案可行性差，不能满足采购人的要求，得0分。</w:t>
            </w:r>
          </w:p>
        </w:tc>
      </w:tr>
      <w:tr>
        <w:tblPrEx>
          <w:tblCellMar>
            <w:top w:w="0" w:type="dxa"/>
            <w:left w:w="108" w:type="dxa"/>
            <w:bottom w:w="0" w:type="dxa"/>
            <w:right w:w="108" w:type="dxa"/>
          </w:tblCellMar>
        </w:tblPrEx>
        <w:trPr>
          <w:trHeight w:val="416" w:hRule="atLeast"/>
        </w:trPr>
        <w:tc>
          <w:tcPr>
            <w:tcW w:w="294" w:type="pc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w:t>
            </w:r>
          </w:p>
        </w:tc>
        <w:tc>
          <w:tcPr>
            <w:tcW w:w="471"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设备参数</w:t>
            </w:r>
          </w:p>
        </w:tc>
        <w:tc>
          <w:tcPr>
            <w:tcW w:w="469"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18</w:t>
            </w:r>
          </w:p>
        </w:tc>
        <w:tc>
          <w:tcPr>
            <w:tcW w:w="863"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所投产品技术参数</w:t>
            </w:r>
          </w:p>
        </w:tc>
        <w:tc>
          <w:tcPr>
            <w:tcW w:w="2900" w:type="pct"/>
            <w:tcBorders>
              <w:top w:val="nil"/>
              <w:left w:val="nil"/>
              <w:bottom w:val="single" w:color="auto" w:sz="4" w:space="0"/>
              <w:right w:val="single" w:color="auto" w:sz="4" w:space="0"/>
            </w:tcBorders>
            <w:noWrap w:val="0"/>
            <w:vAlign w:val="center"/>
          </w:tcPr>
          <w:p>
            <w:pPr>
              <w:pStyle w:val="12"/>
              <w:numPr>
                <w:ilvl w:val="0"/>
                <w:numId w:val="3"/>
              </w:numPr>
              <w:spacing w:before="23"/>
              <w:ind w:left="5"/>
              <w:rPr>
                <w:rFonts w:hint="eastAsia" w:ascii="宋体" w:hAnsi="宋体" w:eastAsia="宋体" w:cs="宋体"/>
                <w:color w:val="000000"/>
                <w:kern w:val="0"/>
                <w:sz w:val="24"/>
                <w:szCs w:val="24"/>
                <w:highlight w:val="none"/>
                <w:lang w:val="en-US" w:eastAsia="zh-CN" w:bidi="ar-SA"/>
              </w:rPr>
            </w:pPr>
            <w:r>
              <w:rPr>
                <w:rFonts w:hint="eastAsia" w:ascii="宋体" w:hAnsi="宋体" w:eastAsia="宋体" w:cs="宋体"/>
                <w:color w:val="000000"/>
                <w:kern w:val="0"/>
                <w:sz w:val="24"/>
                <w:szCs w:val="24"/>
                <w:highlight w:val="none"/>
                <w:lang w:val="en-US" w:eastAsia="zh-CN" w:bidi="ar-SA"/>
              </w:rPr>
              <w:t>本项基本分为18 分；</w:t>
            </w:r>
          </w:p>
          <w:p>
            <w:pPr>
              <w:pStyle w:val="12"/>
              <w:numPr>
                <w:ilvl w:val="0"/>
                <w:numId w:val="3"/>
              </w:numPr>
              <w:spacing w:before="23"/>
              <w:ind w:left="5"/>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lang w:val="en-US" w:eastAsia="zh-CN" w:bidi="ar-SA"/>
              </w:rPr>
              <w:t>每有一项负偏离扣0.5分，扣完为止。</w:t>
            </w:r>
          </w:p>
        </w:tc>
      </w:tr>
      <w:tr>
        <w:tblPrEx>
          <w:tblCellMar>
            <w:top w:w="0" w:type="dxa"/>
            <w:left w:w="108" w:type="dxa"/>
            <w:bottom w:w="0" w:type="dxa"/>
            <w:right w:w="108" w:type="dxa"/>
          </w:tblCellMar>
        </w:tblPrEx>
        <w:trPr>
          <w:trHeight w:val="841" w:hRule="atLeast"/>
        </w:trPr>
        <w:tc>
          <w:tcPr>
            <w:tcW w:w="294" w:type="pc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3</w:t>
            </w:r>
          </w:p>
        </w:tc>
        <w:tc>
          <w:tcPr>
            <w:tcW w:w="471"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主要系统</w:t>
            </w:r>
          </w:p>
        </w:tc>
        <w:tc>
          <w:tcPr>
            <w:tcW w:w="469"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kern w:val="0"/>
                <w:sz w:val="24"/>
                <w:szCs w:val="24"/>
                <w:highlight w:val="none"/>
                <w:lang w:eastAsia="zh-CN"/>
              </w:rPr>
            </w:pPr>
            <w:r>
              <w:rPr>
                <w:rFonts w:hint="eastAsia" w:ascii="宋体" w:hAnsi="宋体" w:eastAsia="宋体" w:cs="宋体"/>
                <w:kern w:val="0"/>
                <w:sz w:val="24"/>
                <w:szCs w:val="24"/>
                <w:highlight w:val="none"/>
              </w:rPr>
              <w:t>1</w:t>
            </w:r>
            <w:r>
              <w:rPr>
                <w:rFonts w:hint="eastAsia" w:hAnsi="宋体" w:eastAsia="宋体" w:cs="宋体"/>
                <w:kern w:val="0"/>
                <w:sz w:val="24"/>
                <w:szCs w:val="24"/>
                <w:highlight w:val="none"/>
                <w:lang w:val="en-US" w:eastAsia="zh-CN"/>
              </w:rPr>
              <w:t>5</w:t>
            </w:r>
          </w:p>
        </w:tc>
        <w:tc>
          <w:tcPr>
            <w:tcW w:w="863"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主要系统技术要求</w:t>
            </w:r>
          </w:p>
        </w:tc>
        <w:tc>
          <w:tcPr>
            <w:tcW w:w="2900" w:type="pct"/>
            <w:tcBorders>
              <w:top w:val="nil"/>
              <w:left w:val="nil"/>
              <w:bottom w:val="single" w:color="auto" w:sz="4" w:space="0"/>
              <w:right w:val="single" w:color="auto" w:sz="4" w:space="0"/>
            </w:tcBorders>
            <w:noWrap w:val="0"/>
            <w:vAlign w:val="center"/>
          </w:tcPr>
          <w:p>
            <w:pPr>
              <w:autoSpaceDE w:val="0"/>
              <w:autoSpaceDN w:val="0"/>
              <w:adjustRightInd w:val="0"/>
              <w:jc w:val="left"/>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LED大屏显示系统要求:（6分）</w:t>
            </w:r>
            <w:r>
              <w:rPr>
                <w:rFonts w:hint="eastAsia" w:ascii="宋体" w:hAnsi="宋体" w:eastAsia="宋体" w:cs="宋体"/>
                <w:color w:val="000000"/>
                <w:kern w:val="0"/>
                <w:sz w:val="24"/>
                <w:szCs w:val="24"/>
                <w:highlight w:val="none"/>
              </w:rPr>
              <w:br w:type="textWrapping"/>
            </w:r>
            <w:r>
              <w:rPr>
                <w:rFonts w:hint="eastAsia" w:ascii="宋体" w:hAnsi="宋体" w:eastAsia="宋体" w:cs="宋体"/>
                <w:color w:val="000000"/>
                <w:kern w:val="0"/>
                <w:sz w:val="24"/>
                <w:szCs w:val="24"/>
                <w:highlight w:val="none"/>
              </w:rPr>
              <w:t>1、显示屏提供3C认证、CE、CB、FCC、ROHS认证证书。以上证书必须同时提供少1项不得分（1分）</w:t>
            </w:r>
          </w:p>
          <w:p>
            <w:pPr>
              <w:autoSpaceDE w:val="0"/>
              <w:autoSpaceDN w:val="0"/>
              <w:adjustRightInd w:val="0"/>
              <w:jc w:val="left"/>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2、LED接收卡提供逐点校正系统计算机软件著作权（1分）</w:t>
            </w:r>
            <w:r>
              <w:rPr>
                <w:rFonts w:hint="eastAsia" w:ascii="宋体" w:hAnsi="宋体" w:eastAsia="宋体" w:cs="宋体"/>
                <w:color w:val="000000"/>
                <w:kern w:val="0"/>
                <w:sz w:val="24"/>
                <w:szCs w:val="24"/>
                <w:highlight w:val="none"/>
              </w:rPr>
              <w:br w:type="textWrapping"/>
            </w:r>
            <w:r>
              <w:rPr>
                <w:rFonts w:hint="eastAsia" w:ascii="宋体" w:hAnsi="宋体" w:eastAsia="宋体" w:cs="宋体"/>
                <w:color w:val="000000"/>
                <w:kern w:val="0"/>
                <w:sz w:val="24"/>
                <w:szCs w:val="24"/>
                <w:highlight w:val="none"/>
              </w:rPr>
              <w:t>3、LED接收卡支持色彩还原技术，使人显示屏颜色更真实，可提供色彩还原控制系统计算机软件著作权登记证。（1分）</w:t>
            </w:r>
          </w:p>
          <w:p>
            <w:pPr>
              <w:autoSpaceDE w:val="0"/>
              <w:autoSpaceDN w:val="0"/>
              <w:adjustRightInd w:val="0"/>
              <w:jc w:val="left"/>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4、LED接收卡支持任意倍频技术，有效消除手机拍摄时出现的扫描线，可提供任意倍频调试软件计算机软件著作权登记证。（1分）</w:t>
            </w:r>
          </w:p>
          <w:p>
            <w:pPr>
              <w:autoSpaceDE w:val="0"/>
              <w:autoSpaceDN w:val="0"/>
              <w:adjustRightInd w:val="0"/>
              <w:jc w:val="left"/>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5、LED接收卡设备通过3C认证、FCC认证、CE认证、RO</w:t>
            </w:r>
            <w:r>
              <w:rPr>
                <w:rFonts w:hint="eastAsia" w:hAnsi="宋体" w:eastAsia="宋体" w:cs="宋体"/>
                <w:color w:val="000000"/>
                <w:kern w:val="0"/>
                <w:sz w:val="24"/>
                <w:szCs w:val="24"/>
                <w:highlight w:val="none"/>
                <w:lang w:val="en-US" w:eastAsia="zh-CN"/>
              </w:rPr>
              <w:t>HS</w:t>
            </w:r>
            <w:r>
              <w:rPr>
                <w:rFonts w:hint="eastAsia" w:ascii="宋体" w:hAnsi="宋体" w:eastAsia="宋体" w:cs="宋体"/>
                <w:color w:val="000000"/>
                <w:kern w:val="0"/>
                <w:sz w:val="24"/>
                <w:szCs w:val="24"/>
                <w:highlight w:val="none"/>
              </w:rPr>
              <w:t>认证证书。以上证书必须同时提供少1项不得分（1分）</w:t>
            </w:r>
          </w:p>
          <w:p>
            <w:pPr>
              <w:autoSpaceDE w:val="0"/>
              <w:autoSpaceDN w:val="0"/>
              <w:adjustRightInd w:val="0"/>
              <w:jc w:val="left"/>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6、LED处理器设备通过3C认证、FCC认证、CE认证、RO</w:t>
            </w:r>
            <w:r>
              <w:rPr>
                <w:rFonts w:hint="eastAsia" w:hAnsi="宋体" w:eastAsia="宋体" w:cs="宋体"/>
                <w:color w:val="000000"/>
                <w:kern w:val="0"/>
                <w:sz w:val="24"/>
                <w:szCs w:val="24"/>
                <w:highlight w:val="none"/>
                <w:lang w:val="en-US" w:eastAsia="zh-CN"/>
              </w:rPr>
              <w:t>HS</w:t>
            </w:r>
            <w:r>
              <w:rPr>
                <w:rFonts w:hint="eastAsia" w:ascii="宋体" w:hAnsi="宋体" w:eastAsia="宋体" w:cs="宋体"/>
                <w:color w:val="000000"/>
                <w:kern w:val="0"/>
                <w:sz w:val="24"/>
                <w:szCs w:val="24"/>
                <w:highlight w:val="none"/>
              </w:rPr>
              <w:t>认证。以上证书必须同时提供少1项不得分（1分）。</w:t>
            </w:r>
          </w:p>
          <w:p>
            <w:pPr>
              <w:autoSpaceDE w:val="0"/>
              <w:autoSpaceDN w:val="0"/>
              <w:adjustRightInd w:val="0"/>
              <w:jc w:val="left"/>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br w:type="textWrapping"/>
            </w:r>
            <w:r>
              <w:rPr>
                <w:rFonts w:hint="eastAsia" w:ascii="宋体" w:hAnsi="宋体" w:eastAsia="宋体" w:cs="宋体"/>
                <w:color w:val="000000"/>
                <w:kern w:val="0"/>
                <w:sz w:val="24"/>
                <w:szCs w:val="24"/>
                <w:highlight w:val="none"/>
              </w:rPr>
              <w:t>扩声系统要求：（</w:t>
            </w:r>
            <w:r>
              <w:rPr>
                <w:rFonts w:hint="eastAsia" w:hAnsi="宋体" w:eastAsia="宋体" w:cs="宋体"/>
                <w:color w:val="000000"/>
                <w:kern w:val="0"/>
                <w:sz w:val="24"/>
                <w:szCs w:val="24"/>
                <w:highlight w:val="none"/>
                <w:lang w:val="en-US" w:eastAsia="zh-CN"/>
              </w:rPr>
              <w:t>2</w:t>
            </w:r>
            <w:r>
              <w:rPr>
                <w:rFonts w:hint="eastAsia" w:ascii="宋体" w:hAnsi="宋体" w:eastAsia="宋体" w:cs="宋体"/>
                <w:color w:val="000000"/>
                <w:kern w:val="0"/>
                <w:sz w:val="24"/>
                <w:szCs w:val="24"/>
                <w:highlight w:val="none"/>
              </w:rPr>
              <w:t>分）</w:t>
            </w:r>
          </w:p>
          <w:p>
            <w:pPr>
              <w:autoSpaceDE w:val="0"/>
              <w:autoSpaceDN w:val="0"/>
              <w:adjustRightInd w:val="0"/>
              <w:jc w:val="left"/>
              <w:rPr>
                <w:rFonts w:hint="eastAsia" w:ascii="宋体" w:hAnsi="宋体" w:eastAsia="宋体" w:cs="宋体"/>
                <w:color w:val="000000"/>
                <w:kern w:val="0"/>
                <w:sz w:val="24"/>
                <w:szCs w:val="24"/>
                <w:highlight w:val="none"/>
                <w:lang w:eastAsia="zh-CN"/>
              </w:rPr>
            </w:pPr>
            <w:r>
              <w:rPr>
                <w:rFonts w:hint="eastAsia" w:ascii="宋体" w:hAnsi="宋体" w:eastAsia="宋体" w:cs="宋体"/>
                <w:color w:val="000000"/>
                <w:kern w:val="0"/>
                <w:sz w:val="24"/>
                <w:szCs w:val="24"/>
                <w:highlight w:val="none"/>
                <w:lang w:eastAsia="zh-CN"/>
              </w:rPr>
              <w:t>1、主音箱要求采用超薄组合式阵列音箱，箱体采用前倒相阵列并且箱体整体厚度不超7</w:t>
            </w:r>
            <w:r>
              <w:rPr>
                <w:rFonts w:hint="eastAsia" w:ascii="宋体" w:hAnsi="宋体" w:eastAsia="宋体" w:cs="宋体"/>
                <w:color w:val="000000"/>
                <w:kern w:val="0"/>
                <w:sz w:val="24"/>
                <w:szCs w:val="24"/>
                <w:highlight w:val="none"/>
                <w:lang w:val="en-US" w:eastAsia="zh-CN"/>
              </w:rPr>
              <w:t>6</w:t>
            </w:r>
            <w:r>
              <w:rPr>
                <w:rFonts w:hint="eastAsia" w:ascii="宋体" w:hAnsi="宋体" w:eastAsia="宋体" w:cs="宋体"/>
                <w:color w:val="000000"/>
                <w:kern w:val="0"/>
                <w:sz w:val="24"/>
                <w:szCs w:val="24"/>
                <w:highlight w:val="none"/>
                <w:lang w:eastAsia="zh-CN"/>
              </w:rPr>
              <w:t>MM，箱体外观须提供相应技术专利证书。（1分）</w:t>
            </w:r>
          </w:p>
          <w:p>
            <w:pPr>
              <w:autoSpaceDE w:val="0"/>
              <w:autoSpaceDN w:val="0"/>
              <w:adjustRightInd w:val="0"/>
              <w:jc w:val="left"/>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2、</w:t>
            </w:r>
            <w:r>
              <w:rPr>
                <w:rFonts w:hint="eastAsia" w:ascii="宋体" w:hAnsi="宋体" w:eastAsia="宋体" w:cs="宋体"/>
                <w:color w:val="000000"/>
                <w:kern w:val="0"/>
                <w:sz w:val="24"/>
                <w:szCs w:val="24"/>
                <w:highlight w:val="none"/>
                <w:lang w:eastAsia="zh-CN"/>
              </w:rPr>
              <w:t>主音箱</w:t>
            </w:r>
            <w:r>
              <w:rPr>
                <w:rFonts w:hint="eastAsia" w:ascii="宋体" w:hAnsi="宋体" w:eastAsia="宋体" w:cs="宋体"/>
                <w:color w:val="000000"/>
                <w:kern w:val="0"/>
                <w:sz w:val="24"/>
                <w:szCs w:val="24"/>
                <w:highlight w:val="none"/>
              </w:rPr>
              <w:t>安装方式</w:t>
            </w:r>
            <w:r>
              <w:rPr>
                <w:rFonts w:hint="eastAsia" w:ascii="宋体" w:hAnsi="宋体" w:eastAsia="宋体" w:cs="宋体"/>
                <w:color w:val="000000"/>
                <w:kern w:val="0"/>
                <w:sz w:val="24"/>
                <w:szCs w:val="24"/>
                <w:highlight w:val="none"/>
                <w:lang w:eastAsia="zh-CN"/>
              </w:rPr>
              <w:t>要求</w:t>
            </w:r>
            <w:r>
              <w:rPr>
                <w:rFonts w:hint="eastAsia" w:ascii="宋体" w:hAnsi="宋体" w:eastAsia="宋体" w:cs="宋体"/>
                <w:color w:val="000000"/>
                <w:kern w:val="0"/>
                <w:sz w:val="24"/>
                <w:szCs w:val="24"/>
                <w:highlight w:val="none"/>
              </w:rPr>
              <w:t>采用挂墙式安装，触点免接线，并能提供相关技术专利证书。（1分）</w:t>
            </w:r>
            <w:r>
              <w:rPr>
                <w:rFonts w:hint="eastAsia" w:ascii="宋体" w:hAnsi="宋体" w:eastAsia="宋体" w:cs="宋体"/>
                <w:color w:val="000000"/>
                <w:kern w:val="0"/>
                <w:sz w:val="24"/>
                <w:szCs w:val="24"/>
                <w:highlight w:val="none"/>
              </w:rPr>
              <w:br w:type="textWrapping"/>
            </w:r>
          </w:p>
          <w:p>
            <w:pPr>
              <w:autoSpaceDE w:val="0"/>
              <w:autoSpaceDN w:val="0"/>
              <w:adjustRightInd w:val="0"/>
              <w:jc w:val="left"/>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远程视频会议系统</w:t>
            </w:r>
            <w:r>
              <w:rPr>
                <w:rFonts w:hint="eastAsia" w:hAnsi="宋体" w:eastAsia="宋体" w:cs="宋体"/>
                <w:color w:val="000000"/>
                <w:kern w:val="0"/>
                <w:sz w:val="24"/>
                <w:szCs w:val="24"/>
                <w:highlight w:val="none"/>
                <w:lang w:eastAsia="zh-CN"/>
              </w:rPr>
              <w:t>：</w:t>
            </w:r>
            <w:r>
              <w:rPr>
                <w:rFonts w:hint="eastAsia" w:ascii="宋体" w:hAnsi="宋体" w:eastAsia="宋体" w:cs="宋体"/>
                <w:color w:val="000000"/>
                <w:kern w:val="0"/>
                <w:sz w:val="24"/>
                <w:szCs w:val="24"/>
                <w:highlight w:val="none"/>
              </w:rPr>
              <w:t>（</w:t>
            </w:r>
            <w:r>
              <w:rPr>
                <w:rFonts w:hint="eastAsia" w:hAnsi="宋体" w:eastAsia="宋体" w:cs="宋体"/>
                <w:color w:val="000000"/>
                <w:kern w:val="0"/>
                <w:sz w:val="24"/>
                <w:szCs w:val="24"/>
                <w:highlight w:val="none"/>
                <w:lang w:val="en-US" w:eastAsia="zh-CN"/>
              </w:rPr>
              <w:t>2</w:t>
            </w:r>
            <w:r>
              <w:rPr>
                <w:rFonts w:hint="eastAsia" w:ascii="宋体" w:hAnsi="宋体" w:eastAsia="宋体" w:cs="宋体"/>
                <w:color w:val="000000"/>
                <w:kern w:val="0"/>
                <w:sz w:val="24"/>
                <w:szCs w:val="24"/>
                <w:highlight w:val="none"/>
              </w:rPr>
              <w:t>分）</w:t>
            </w:r>
          </w:p>
          <w:p>
            <w:pPr>
              <w:autoSpaceDE w:val="0"/>
              <w:autoSpaceDN w:val="0"/>
              <w:adjustRightInd w:val="0"/>
              <w:jc w:val="left"/>
              <w:rPr>
                <w:rFonts w:hint="eastAsia" w:ascii="宋体" w:hAnsi="宋体" w:eastAsia="宋体" w:cs="宋体"/>
                <w:color w:val="000000"/>
                <w:kern w:val="0"/>
                <w:sz w:val="24"/>
                <w:szCs w:val="24"/>
                <w:highlight w:val="none"/>
                <w:lang w:eastAsia="zh-CN"/>
              </w:rPr>
            </w:pPr>
            <w:r>
              <w:rPr>
                <w:rFonts w:hint="eastAsia" w:ascii="宋体" w:hAnsi="宋体" w:eastAsia="宋体" w:cs="宋体"/>
                <w:color w:val="000000"/>
                <w:kern w:val="0"/>
                <w:sz w:val="24"/>
                <w:szCs w:val="24"/>
                <w:highlight w:val="none"/>
              </w:rPr>
              <w:t>1、多点控制单元MCU</w:t>
            </w:r>
            <w:r>
              <w:rPr>
                <w:rFonts w:hint="eastAsia" w:hAnsi="宋体" w:eastAsia="宋体" w:cs="宋体"/>
                <w:color w:val="000000"/>
                <w:kern w:val="0"/>
                <w:sz w:val="24"/>
                <w:szCs w:val="24"/>
                <w:highlight w:val="none"/>
                <w:lang w:eastAsia="zh-CN"/>
              </w:rPr>
              <w:t>同时</w:t>
            </w:r>
            <w:r>
              <w:rPr>
                <w:rFonts w:hint="eastAsia" w:ascii="宋体" w:hAnsi="宋体" w:eastAsia="宋体" w:cs="宋体"/>
                <w:color w:val="000000"/>
                <w:kern w:val="0"/>
                <w:sz w:val="24"/>
                <w:szCs w:val="24"/>
                <w:highlight w:val="none"/>
              </w:rPr>
              <w:t>具备电信入网证</w:t>
            </w:r>
            <w:r>
              <w:rPr>
                <w:rFonts w:hint="eastAsia" w:hAnsi="宋体" w:eastAsia="宋体" w:cs="宋体"/>
                <w:color w:val="000000"/>
                <w:kern w:val="0"/>
                <w:sz w:val="24"/>
                <w:szCs w:val="24"/>
                <w:highlight w:val="none"/>
                <w:lang w:eastAsia="zh-CN"/>
              </w:rPr>
              <w:t>、</w:t>
            </w:r>
            <w:r>
              <w:rPr>
                <w:rFonts w:hint="eastAsia" w:ascii="宋体" w:hAnsi="宋体" w:eastAsia="宋体" w:cs="宋体"/>
                <w:color w:val="000000"/>
                <w:kern w:val="0"/>
                <w:sz w:val="24"/>
                <w:szCs w:val="24"/>
                <w:highlight w:val="none"/>
              </w:rPr>
              <w:t>3C认证证书</w:t>
            </w:r>
            <w:r>
              <w:rPr>
                <w:rFonts w:hint="eastAsia" w:hAnsi="宋体" w:eastAsia="宋体" w:cs="宋体"/>
                <w:color w:val="000000"/>
                <w:kern w:val="0"/>
                <w:sz w:val="24"/>
                <w:szCs w:val="24"/>
                <w:highlight w:val="none"/>
                <w:lang w:eastAsia="zh-CN"/>
              </w:rPr>
              <w:t>，得</w:t>
            </w:r>
            <w:r>
              <w:rPr>
                <w:rFonts w:hint="eastAsia" w:hAnsi="宋体" w:eastAsia="宋体" w:cs="宋体"/>
                <w:color w:val="000000"/>
                <w:kern w:val="0"/>
                <w:sz w:val="24"/>
                <w:szCs w:val="24"/>
                <w:highlight w:val="none"/>
                <w:lang w:val="en-US" w:eastAsia="zh-CN"/>
              </w:rPr>
              <w:t>1分，缺一项不得分</w:t>
            </w:r>
            <w:r>
              <w:rPr>
                <w:rFonts w:hint="eastAsia" w:hAnsi="宋体" w:eastAsia="宋体" w:cs="宋体"/>
                <w:color w:val="000000"/>
                <w:kern w:val="0"/>
                <w:sz w:val="24"/>
                <w:szCs w:val="24"/>
                <w:highlight w:val="none"/>
                <w:lang w:eastAsia="zh-CN"/>
              </w:rPr>
              <w:t>。</w:t>
            </w:r>
            <w:r>
              <w:rPr>
                <w:rFonts w:hint="eastAsia" w:ascii="宋体" w:hAnsi="宋体" w:eastAsia="宋体" w:cs="宋体"/>
                <w:color w:val="000000"/>
                <w:kern w:val="0"/>
                <w:sz w:val="24"/>
                <w:szCs w:val="24"/>
                <w:highlight w:val="none"/>
              </w:rPr>
              <w:t>（1分）</w:t>
            </w:r>
          </w:p>
          <w:p>
            <w:pPr>
              <w:autoSpaceDE w:val="0"/>
              <w:autoSpaceDN w:val="0"/>
              <w:adjustRightInd w:val="0"/>
              <w:jc w:val="left"/>
              <w:rPr>
                <w:rFonts w:hint="eastAsia" w:ascii="宋体" w:hAnsi="宋体" w:eastAsia="宋体" w:cs="宋体"/>
                <w:color w:val="000000"/>
                <w:kern w:val="0"/>
                <w:sz w:val="24"/>
                <w:szCs w:val="24"/>
                <w:highlight w:val="none"/>
                <w:lang w:eastAsia="zh-CN"/>
              </w:rPr>
            </w:pPr>
            <w:r>
              <w:rPr>
                <w:rFonts w:hint="eastAsia" w:hAnsi="宋体" w:eastAsia="宋体" w:cs="宋体"/>
                <w:color w:val="000000"/>
                <w:kern w:val="0"/>
                <w:sz w:val="24"/>
                <w:szCs w:val="24"/>
                <w:highlight w:val="none"/>
                <w:lang w:val="en-US" w:eastAsia="zh-CN"/>
              </w:rPr>
              <w:t>2</w:t>
            </w:r>
            <w:r>
              <w:rPr>
                <w:rFonts w:hint="eastAsia" w:ascii="宋体" w:hAnsi="宋体" w:eastAsia="宋体" w:cs="宋体"/>
                <w:color w:val="000000"/>
                <w:kern w:val="0"/>
                <w:sz w:val="24"/>
                <w:szCs w:val="24"/>
                <w:highlight w:val="none"/>
              </w:rPr>
              <w:t>、多点控制单元MCU</w:t>
            </w:r>
            <w:r>
              <w:rPr>
                <w:rFonts w:hint="eastAsia" w:hAnsi="宋体" w:eastAsia="宋体" w:cs="宋体"/>
                <w:color w:val="000000"/>
                <w:kern w:val="0"/>
                <w:sz w:val="24"/>
                <w:szCs w:val="24"/>
                <w:highlight w:val="none"/>
                <w:lang w:eastAsia="zh-CN"/>
              </w:rPr>
              <w:t>生产厂家</w:t>
            </w:r>
            <w:r>
              <w:rPr>
                <w:rFonts w:hint="eastAsia" w:ascii="宋体" w:hAnsi="宋体" w:eastAsia="宋体" w:cs="宋体"/>
                <w:color w:val="000000"/>
                <w:kern w:val="0"/>
                <w:sz w:val="24"/>
                <w:szCs w:val="24"/>
                <w:highlight w:val="none"/>
              </w:rPr>
              <w:t>具备</w:t>
            </w:r>
            <w:r>
              <w:rPr>
                <w:rFonts w:hint="eastAsia" w:hAnsi="宋体" w:eastAsia="宋体" w:cs="宋体"/>
                <w:color w:val="000000"/>
                <w:kern w:val="0"/>
                <w:sz w:val="24"/>
                <w:szCs w:val="24"/>
                <w:highlight w:val="none"/>
                <w:lang w:val="en-US" w:eastAsia="zh-CN"/>
              </w:rPr>
              <w:t>ISO9001质量管理体系</w:t>
            </w:r>
            <w:r>
              <w:rPr>
                <w:rFonts w:hint="eastAsia" w:ascii="宋体" w:hAnsi="宋体" w:eastAsia="宋体" w:cs="宋体"/>
                <w:color w:val="000000"/>
                <w:kern w:val="0"/>
                <w:sz w:val="24"/>
                <w:szCs w:val="24"/>
                <w:highlight w:val="none"/>
              </w:rPr>
              <w:t>认证证书</w:t>
            </w:r>
            <w:r>
              <w:rPr>
                <w:rFonts w:hint="eastAsia" w:hAnsi="宋体" w:eastAsia="宋体" w:cs="宋体"/>
                <w:color w:val="000000"/>
                <w:kern w:val="0"/>
                <w:sz w:val="24"/>
                <w:szCs w:val="24"/>
                <w:highlight w:val="none"/>
                <w:lang w:eastAsia="zh-CN"/>
              </w:rPr>
              <w:t>。</w:t>
            </w:r>
            <w:r>
              <w:rPr>
                <w:rFonts w:hint="eastAsia" w:ascii="宋体" w:hAnsi="宋体" w:eastAsia="宋体" w:cs="宋体"/>
                <w:color w:val="000000"/>
                <w:kern w:val="0"/>
                <w:sz w:val="24"/>
                <w:szCs w:val="24"/>
                <w:highlight w:val="none"/>
              </w:rPr>
              <w:t>（1分）</w:t>
            </w:r>
          </w:p>
          <w:p>
            <w:pPr>
              <w:autoSpaceDE w:val="0"/>
              <w:autoSpaceDN w:val="0"/>
              <w:adjustRightInd w:val="0"/>
              <w:jc w:val="left"/>
              <w:rPr>
                <w:rFonts w:hint="eastAsia" w:ascii="宋体" w:hAnsi="宋体" w:eastAsia="宋体" w:cs="宋体"/>
                <w:color w:val="000000"/>
                <w:kern w:val="0"/>
                <w:sz w:val="24"/>
                <w:szCs w:val="24"/>
                <w:highlight w:val="none"/>
              </w:rPr>
            </w:pPr>
          </w:p>
          <w:p>
            <w:pPr>
              <w:autoSpaceDE w:val="0"/>
              <w:autoSpaceDN w:val="0"/>
              <w:adjustRightInd w:val="0"/>
              <w:jc w:val="left"/>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KVM分布式坐席综合管理系统（2分）</w:t>
            </w:r>
          </w:p>
          <w:p>
            <w:pPr>
              <w:autoSpaceDE w:val="0"/>
              <w:autoSpaceDN w:val="0"/>
              <w:adjustRightInd w:val="0"/>
              <w:jc w:val="left"/>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1、分布式节点HDMI接口具备卡扣，可调距固定装置（需提供</w:t>
            </w:r>
            <w:r>
              <w:rPr>
                <w:rFonts w:hint="eastAsia" w:hAnsi="宋体" w:eastAsia="宋体" w:cs="宋体"/>
                <w:color w:val="000000"/>
                <w:kern w:val="0"/>
                <w:sz w:val="24"/>
                <w:szCs w:val="24"/>
                <w:highlight w:val="none"/>
                <w:lang w:eastAsia="zh-CN"/>
              </w:rPr>
              <w:t>相应的专利证明文件</w:t>
            </w:r>
            <w:r>
              <w:rPr>
                <w:rFonts w:hint="eastAsia" w:ascii="宋体" w:hAnsi="宋体" w:eastAsia="宋体" w:cs="宋体"/>
                <w:color w:val="000000"/>
                <w:kern w:val="0"/>
                <w:sz w:val="24"/>
                <w:szCs w:val="24"/>
                <w:highlight w:val="none"/>
              </w:rPr>
              <w:t>)；（1分）</w:t>
            </w:r>
          </w:p>
          <w:p>
            <w:pPr>
              <w:autoSpaceDE w:val="0"/>
              <w:autoSpaceDN w:val="0"/>
              <w:adjustRightInd w:val="0"/>
              <w:jc w:val="left"/>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2、设备厂家需</w:t>
            </w:r>
            <w:r>
              <w:rPr>
                <w:rFonts w:hint="eastAsia" w:hAnsi="宋体" w:eastAsia="宋体" w:cs="宋体"/>
                <w:color w:val="000000"/>
                <w:kern w:val="0"/>
                <w:sz w:val="24"/>
                <w:szCs w:val="24"/>
                <w:highlight w:val="none"/>
                <w:lang w:eastAsia="zh-CN"/>
              </w:rPr>
              <w:t>同时具有</w:t>
            </w:r>
            <w:r>
              <w:rPr>
                <w:rFonts w:hint="eastAsia" w:ascii="宋体" w:hAnsi="宋体" w:eastAsia="宋体" w:cs="宋体"/>
                <w:color w:val="000000"/>
                <w:kern w:val="0"/>
                <w:sz w:val="24"/>
                <w:szCs w:val="24"/>
                <w:highlight w:val="none"/>
              </w:rPr>
              <w:t>高新企业证书、省级分布式音视频智能系统工程技术研究中心认证、双软企业证明函并加盖原厂公章</w:t>
            </w:r>
            <w:r>
              <w:rPr>
                <w:rFonts w:hint="eastAsia" w:hAnsi="宋体" w:eastAsia="宋体" w:cs="宋体"/>
                <w:color w:val="000000"/>
                <w:kern w:val="0"/>
                <w:sz w:val="24"/>
                <w:szCs w:val="24"/>
                <w:highlight w:val="none"/>
                <w:lang w:eastAsia="zh-CN"/>
              </w:rPr>
              <w:t>，只有一项不得分</w:t>
            </w:r>
            <w:r>
              <w:rPr>
                <w:rFonts w:hint="eastAsia" w:ascii="宋体" w:hAnsi="宋体" w:eastAsia="宋体" w:cs="宋体"/>
                <w:color w:val="000000"/>
                <w:kern w:val="0"/>
                <w:sz w:val="24"/>
                <w:szCs w:val="24"/>
                <w:highlight w:val="none"/>
              </w:rPr>
              <w:t>（1分）</w:t>
            </w:r>
          </w:p>
          <w:p>
            <w:pPr>
              <w:autoSpaceDE w:val="0"/>
              <w:autoSpaceDN w:val="0"/>
              <w:adjustRightInd w:val="0"/>
              <w:jc w:val="left"/>
              <w:rPr>
                <w:rFonts w:hint="eastAsia" w:ascii="宋体" w:hAnsi="宋体" w:eastAsia="宋体" w:cs="宋体"/>
                <w:color w:val="000000"/>
                <w:kern w:val="0"/>
                <w:sz w:val="24"/>
                <w:szCs w:val="24"/>
                <w:highlight w:val="none"/>
              </w:rPr>
            </w:pPr>
          </w:p>
          <w:p>
            <w:pPr>
              <w:autoSpaceDE w:val="0"/>
              <w:autoSpaceDN w:val="0"/>
              <w:adjustRightInd w:val="0"/>
              <w:jc w:val="left"/>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UPS系统（3分）</w:t>
            </w:r>
          </w:p>
          <w:p>
            <w:pPr>
              <w:numPr>
                <w:ilvl w:val="0"/>
                <w:numId w:val="4"/>
              </w:numPr>
              <w:autoSpaceDE w:val="0"/>
              <w:autoSpaceDN w:val="0"/>
              <w:adjustRightInd w:val="0"/>
              <w:jc w:val="left"/>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UPS主机的高性能指标具有泰尔检验报告证明（1分）</w:t>
            </w:r>
          </w:p>
          <w:p>
            <w:pPr>
              <w:autoSpaceDE w:val="0"/>
              <w:autoSpaceDN w:val="0"/>
              <w:adjustRightInd w:val="0"/>
              <w:jc w:val="left"/>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2、蓄电池提供RO</w:t>
            </w:r>
            <w:r>
              <w:rPr>
                <w:rFonts w:hint="eastAsia" w:hAnsi="宋体" w:eastAsia="宋体" w:cs="宋体"/>
                <w:color w:val="000000"/>
                <w:kern w:val="0"/>
                <w:sz w:val="24"/>
                <w:szCs w:val="24"/>
                <w:highlight w:val="none"/>
                <w:lang w:val="en-US" w:eastAsia="zh-CN"/>
              </w:rPr>
              <w:t>HS</w:t>
            </w:r>
            <w:r>
              <w:rPr>
                <w:rFonts w:hint="eastAsia" w:ascii="宋体" w:hAnsi="宋体" w:eastAsia="宋体" w:cs="宋体"/>
                <w:color w:val="000000"/>
                <w:kern w:val="0"/>
                <w:sz w:val="24"/>
                <w:szCs w:val="24"/>
                <w:highlight w:val="none"/>
              </w:rPr>
              <w:t>证书（1分）</w:t>
            </w:r>
          </w:p>
          <w:p>
            <w:pPr>
              <w:autoSpaceDE w:val="0"/>
              <w:autoSpaceDN w:val="0"/>
              <w:adjustRightInd w:val="0"/>
              <w:jc w:val="left"/>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3、投标蓄电池厂需</w:t>
            </w:r>
            <w:r>
              <w:rPr>
                <w:rFonts w:hint="eastAsia" w:hAnsi="宋体" w:eastAsia="宋体" w:cs="宋体"/>
                <w:color w:val="000000"/>
                <w:kern w:val="0"/>
                <w:sz w:val="24"/>
                <w:szCs w:val="24"/>
                <w:highlight w:val="none"/>
                <w:lang w:eastAsia="zh-CN"/>
              </w:rPr>
              <w:t>同时</w:t>
            </w:r>
            <w:r>
              <w:rPr>
                <w:rFonts w:hint="eastAsia" w:ascii="宋体" w:hAnsi="宋体" w:eastAsia="宋体" w:cs="宋体"/>
                <w:color w:val="000000"/>
                <w:kern w:val="0"/>
                <w:sz w:val="24"/>
                <w:szCs w:val="24"/>
                <w:highlight w:val="none"/>
              </w:rPr>
              <w:t>提供全国工业产品生产许可证、国家相关机构出具的排污许可证书</w:t>
            </w:r>
            <w:r>
              <w:rPr>
                <w:rFonts w:hint="eastAsia" w:hAnsi="宋体" w:eastAsia="宋体" w:cs="宋体"/>
                <w:color w:val="000000"/>
                <w:kern w:val="0"/>
                <w:sz w:val="24"/>
                <w:szCs w:val="24"/>
                <w:highlight w:val="none"/>
                <w:lang w:eastAsia="zh-CN"/>
              </w:rPr>
              <w:t>，只有一项不得分</w:t>
            </w:r>
            <w:r>
              <w:rPr>
                <w:rFonts w:hint="eastAsia" w:ascii="宋体" w:hAnsi="宋体" w:eastAsia="宋体" w:cs="宋体"/>
                <w:color w:val="000000"/>
                <w:kern w:val="0"/>
                <w:sz w:val="24"/>
                <w:szCs w:val="24"/>
                <w:highlight w:val="none"/>
              </w:rPr>
              <w:t>。（1分）</w:t>
            </w:r>
          </w:p>
          <w:p>
            <w:pPr>
              <w:autoSpaceDE w:val="0"/>
              <w:autoSpaceDN w:val="0"/>
              <w:adjustRightInd w:val="0"/>
              <w:jc w:val="left"/>
              <w:rPr>
                <w:rFonts w:hint="eastAsia" w:ascii="宋体" w:hAnsi="宋体" w:eastAsia="宋体" w:cs="宋体"/>
                <w:kern w:val="0"/>
                <w:sz w:val="24"/>
                <w:szCs w:val="24"/>
                <w:highlight w:val="none"/>
                <w:lang w:val="en-US" w:eastAsia="zh-CN"/>
              </w:rPr>
            </w:pPr>
            <w:r>
              <w:rPr>
                <w:rFonts w:hint="eastAsia" w:hAnsi="宋体" w:eastAsia="宋体" w:cs="宋体"/>
                <w:b/>
                <w:bCs/>
                <w:color w:val="FF0000"/>
                <w:kern w:val="0"/>
                <w:sz w:val="24"/>
                <w:szCs w:val="24"/>
                <w:highlight w:val="none"/>
                <w:lang w:val="en-US" w:eastAsia="zh-CN"/>
              </w:rPr>
              <w:t>以上证书提供相应的证书原件或响应文件正本提供彩色复印件，否则不得分</w:t>
            </w:r>
            <w:r>
              <w:rPr>
                <w:rFonts w:hint="eastAsia" w:ascii="宋体" w:hAnsi="宋体" w:eastAsia="宋体" w:cs="宋体"/>
                <w:b/>
                <w:bCs/>
                <w:color w:val="FF0000"/>
                <w:sz w:val="24"/>
                <w:szCs w:val="24"/>
                <w:highlight w:val="none"/>
                <w:lang w:val="en-US" w:eastAsia="zh-CN"/>
              </w:rPr>
              <w:t>。</w:t>
            </w:r>
          </w:p>
        </w:tc>
      </w:tr>
      <w:tr>
        <w:tblPrEx>
          <w:tblCellMar>
            <w:top w:w="0" w:type="dxa"/>
            <w:left w:w="108" w:type="dxa"/>
            <w:bottom w:w="0" w:type="dxa"/>
            <w:right w:w="108" w:type="dxa"/>
          </w:tblCellMar>
        </w:tblPrEx>
        <w:trPr>
          <w:trHeight w:val="360" w:hRule="atLeast"/>
        </w:trPr>
        <w:tc>
          <w:tcPr>
            <w:tcW w:w="294" w:type="pc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四</w:t>
            </w:r>
          </w:p>
        </w:tc>
        <w:tc>
          <w:tcPr>
            <w:tcW w:w="4705" w:type="pct"/>
            <w:gridSpan w:val="4"/>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4"/>
                <w:szCs w:val="24"/>
                <w:highlight w:val="none"/>
              </w:rPr>
            </w:pPr>
            <w:r>
              <w:rPr>
                <w:rFonts w:hint="eastAsia" w:ascii="宋体" w:eastAsia="宋体"/>
                <w:sz w:val="24"/>
                <w:szCs w:val="24"/>
                <w:highlight w:val="none"/>
              </w:rPr>
              <w:t>管理力量、技术人员安排</w:t>
            </w:r>
            <w:r>
              <w:rPr>
                <w:rFonts w:hint="eastAsia" w:ascii="宋体" w:hAnsi="宋体" w:eastAsia="宋体" w:cs="宋体"/>
                <w:kern w:val="0"/>
                <w:sz w:val="24"/>
                <w:szCs w:val="24"/>
                <w:highlight w:val="none"/>
              </w:rPr>
              <w:t>（</w:t>
            </w:r>
            <w:r>
              <w:rPr>
                <w:rFonts w:hint="eastAsia" w:hAnsi="宋体" w:eastAsia="宋体" w:cs="宋体"/>
                <w:kern w:val="0"/>
                <w:sz w:val="24"/>
                <w:szCs w:val="24"/>
                <w:highlight w:val="none"/>
                <w:lang w:val="en-US" w:eastAsia="zh-CN"/>
              </w:rPr>
              <w:t>4</w:t>
            </w:r>
            <w:r>
              <w:rPr>
                <w:rFonts w:hint="eastAsia" w:ascii="宋体" w:hAnsi="宋体" w:eastAsia="宋体" w:cs="宋体"/>
                <w:kern w:val="0"/>
                <w:sz w:val="24"/>
                <w:szCs w:val="24"/>
                <w:highlight w:val="none"/>
              </w:rPr>
              <w:t>分）</w:t>
            </w:r>
          </w:p>
        </w:tc>
      </w:tr>
      <w:tr>
        <w:tblPrEx>
          <w:tblCellMar>
            <w:top w:w="0" w:type="dxa"/>
            <w:left w:w="108" w:type="dxa"/>
            <w:bottom w:w="0" w:type="dxa"/>
            <w:right w:w="108" w:type="dxa"/>
          </w:tblCellMar>
        </w:tblPrEx>
        <w:trPr>
          <w:trHeight w:val="1920" w:hRule="atLeast"/>
        </w:trPr>
        <w:tc>
          <w:tcPr>
            <w:tcW w:w="294" w:type="pc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w:t>
            </w:r>
          </w:p>
        </w:tc>
        <w:tc>
          <w:tcPr>
            <w:tcW w:w="471"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项目经理资质</w:t>
            </w:r>
          </w:p>
        </w:tc>
        <w:tc>
          <w:tcPr>
            <w:tcW w:w="469"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4"/>
                <w:szCs w:val="24"/>
                <w:highlight w:val="none"/>
                <w:lang w:eastAsia="zh-CN"/>
              </w:rPr>
            </w:pPr>
            <w:r>
              <w:rPr>
                <w:rFonts w:hint="eastAsia" w:hAnsi="宋体" w:eastAsia="宋体" w:cs="宋体"/>
                <w:kern w:val="0"/>
                <w:sz w:val="24"/>
                <w:szCs w:val="24"/>
                <w:highlight w:val="none"/>
                <w:lang w:val="en-US" w:eastAsia="zh-CN"/>
              </w:rPr>
              <w:t>1</w:t>
            </w:r>
          </w:p>
        </w:tc>
        <w:tc>
          <w:tcPr>
            <w:tcW w:w="863"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根据</w:t>
            </w:r>
            <w:r>
              <w:rPr>
                <w:rFonts w:hint="eastAsia" w:ascii="宋体" w:hAnsi="宋体" w:eastAsia="宋体" w:cs="宋体"/>
                <w:kern w:val="0"/>
                <w:sz w:val="24"/>
                <w:szCs w:val="24"/>
                <w:highlight w:val="none"/>
                <w:lang w:eastAsia="zh-CN"/>
              </w:rPr>
              <w:t>投标人</w:t>
            </w:r>
            <w:r>
              <w:rPr>
                <w:rFonts w:hint="eastAsia" w:ascii="宋体" w:hAnsi="宋体" w:eastAsia="宋体" w:cs="宋体"/>
                <w:kern w:val="0"/>
                <w:sz w:val="24"/>
                <w:szCs w:val="24"/>
                <w:highlight w:val="none"/>
              </w:rPr>
              <w:t>提供的项目经理配备情况打分</w:t>
            </w:r>
          </w:p>
        </w:tc>
        <w:tc>
          <w:tcPr>
            <w:tcW w:w="2900"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sz w:val="24"/>
                <w:szCs w:val="20"/>
              </w:rPr>
            </w:pPr>
            <w:r>
              <w:rPr>
                <w:rFonts w:hint="eastAsia" w:ascii="宋体" w:hAnsi="宋体" w:eastAsia="宋体" w:cs="宋体"/>
                <w:sz w:val="24"/>
                <w:szCs w:val="20"/>
              </w:rPr>
              <w:t>项目经理具有</w:t>
            </w:r>
            <w:r>
              <w:rPr>
                <w:rFonts w:hint="eastAsia" w:hAnsi="宋体" w:eastAsia="宋体" w:cs="宋体"/>
                <w:sz w:val="24"/>
                <w:szCs w:val="20"/>
                <w:lang w:eastAsia="zh-CN"/>
              </w:rPr>
              <w:t>高级工程师证书的，得</w:t>
            </w:r>
            <w:r>
              <w:rPr>
                <w:rFonts w:hint="eastAsia" w:hAnsi="宋体" w:eastAsia="宋体" w:cs="宋体"/>
                <w:sz w:val="24"/>
                <w:szCs w:val="20"/>
                <w:lang w:val="en-US" w:eastAsia="zh-CN"/>
              </w:rPr>
              <w:t>2分</w:t>
            </w:r>
            <w:r>
              <w:rPr>
                <w:rFonts w:hint="eastAsia" w:ascii="宋体" w:hAnsi="宋体" w:eastAsia="宋体" w:cs="宋体"/>
                <w:sz w:val="24"/>
                <w:szCs w:val="20"/>
              </w:rPr>
              <w:t>，没有</w:t>
            </w:r>
            <w:r>
              <w:rPr>
                <w:rFonts w:hint="eastAsia" w:ascii="宋体" w:hAnsi="宋体" w:eastAsia="宋体" w:cs="宋体"/>
                <w:sz w:val="24"/>
                <w:szCs w:val="20"/>
                <w:lang w:val="en-US" w:eastAsia="zh-CN"/>
              </w:rPr>
              <w:t>不</w:t>
            </w:r>
            <w:r>
              <w:rPr>
                <w:rFonts w:hint="eastAsia" w:hAnsi="宋体" w:eastAsia="宋体" w:cs="宋体"/>
                <w:sz w:val="24"/>
                <w:szCs w:val="20"/>
                <w:lang w:val="en-US" w:eastAsia="zh-CN"/>
              </w:rPr>
              <w:t>得分</w:t>
            </w:r>
            <w:r>
              <w:rPr>
                <w:rFonts w:hint="eastAsia" w:ascii="宋体" w:hAnsi="宋体" w:eastAsia="宋体" w:cs="宋体"/>
                <w:sz w:val="24"/>
                <w:szCs w:val="20"/>
              </w:rPr>
              <w:t>；</w:t>
            </w:r>
          </w:p>
          <w:p>
            <w:pPr>
              <w:pStyle w:val="2"/>
              <w:ind w:left="0" w:leftChars="0" w:firstLine="0" w:firstLineChars="0"/>
              <w:rPr>
                <w:rFonts w:hint="default" w:eastAsia="宋体"/>
                <w:lang w:val="en-US" w:eastAsia="zh-CN"/>
              </w:rPr>
            </w:pPr>
            <w:r>
              <w:rPr>
                <w:rFonts w:hint="eastAsia" w:ascii="宋体" w:hAnsi="宋体" w:eastAsia="宋体" w:cs="宋体"/>
                <w:b/>
                <w:bCs/>
                <w:color w:val="FF0000"/>
              </w:rPr>
              <w:t>以上证书提供相应的证书原件或响应文件正本提供彩色复印件</w:t>
            </w:r>
            <w:r>
              <w:rPr>
                <w:rFonts w:hint="eastAsia" w:hAnsi="宋体" w:eastAsia="宋体" w:cs="宋体"/>
                <w:b/>
                <w:bCs/>
                <w:color w:val="FF0000"/>
                <w:lang w:eastAsia="zh-CN"/>
              </w:rPr>
              <w:t>；</w:t>
            </w:r>
            <w:r>
              <w:rPr>
                <w:rFonts w:hint="eastAsia" w:hAnsi="宋体" w:eastAsia="宋体" w:cs="宋体"/>
                <w:b/>
                <w:bCs/>
                <w:color w:val="FF0000"/>
                <w:lang w:val="en-US" w:eastAsia="zh-CN"/>
              </w:rPr>
              <w:t>同时提供投标人为其缴纳的社保证明（原件或彩色复印件），缴纳时间至少包含2020年5月至2020年7月，否则不得分。</w:t>
            </w:r>
          </w:p>
        </w:tc>
      </w:tr>
      <w:tr>
        <w:tblPrEx>
          <w:tblCellMar>
            <w:top w:w="0" w:type="dxa"/>
            <w:left w:w="108" w:type="dxa"/>
            <w:bottom w:w="0" w:type="dxa"/>
            <w:right w:w="108" w:type="dxa"/>
          </w:tblCellMar>
        </w:tblPrEx>
        <w:trPr>
          <w:trHeight w:val="2703" w:hRule="atLeast"/>
        </w:trPr>
        <w:tc>
          <w:tcPr>
            <w:tcW w:w="294" w:type="pc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4"/>
                <w:szCs w:val="24"/>
                <w:highlight w:val="none"/>
                <w:lang w:val="en-US" w:eastAsia="zh-CN"/>
              </w:rPr>
            </w:pPr>
            <w:r>
              <w:rPr>
                <w:rFonts w:hint="eastAsia" w:hAnsi="宋体" w:eastAsia="宋体" w:cs="宋体"/>
                <w:kern w:val="0"/>
                <w:sz w:val="24"/>
                <w:szCs w:val="24"/>
                <w:highlight w:val="none"/>
                <w:lang w:val="en-US" w:eastAsia="zh-CN"/>
              </w:rPr>
              <w:t>2</w:t>
            </w:r>
          </w:p>
        </w:tc>
        <w:tc>
          <w:tcPr>
            <w:tcW w:w="471"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4"/>
                <w:szCs w:val="24"/>
                <w:highlight w:val="none"/>
                <w:lang w:eastAsia="zh-CN"/>
              </w:rPr>
            </w:pPr>
            <w:r>
              <w:rPr>
                <w:rFonts w:hint="eastAsia" w:hAnsi="宋体" w:eastAsia="宋体" w:cs="宋体"/>
                <w:kern w:val="0"/>
                <w:sz w:val="24"/>
                <w:szCs w:val="24"/>
                <w:highlight w:val="none"/>
                <w:lang w:eastAsia="zh-CN"/>
              </w:rPr>
              <w:t>项目组人员资质</w:t>
            </w:r>
          </w:p>
        </w:tc>
        <w:tc>
          <w:tcPr>
            <w:tcW w:w="469"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4"/>
                <w:szCs w:val="24"/>
                <w:highlight w:val="none"/>
                <w:lang w:val="en-US" w:eastAsia="zh-CN"/>
              </w:rPr>
            </w:pPr>
            <w:r>
              <w:rPr>
                <w:rFonts w:hint="eastAsia" w:hAnsi="宋体" w:eastAsia="宋体" w:cs="宋体"/>
                <w:kern w:val="0"/>
                <w:sz w:val="24"/>
                <w:szCs w:val="24"/>
                <w:highlight w:val="none"/>
                <w:lang w:val="en-US" w:eastAsia="zh-CN"/>
              </w:rPr>
              <w:t>3</w:t>
            </w:r>
          </w:p>
        </w:tc>
        <w:tc>
          <w:tcPr>
            <w:tcW w:w="863"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根据</w:t>
            </w:r>
            <w:r>
              <w:rPr>
                <w:rFonts w:hint="eastAsia" w:ascii="宋体" w:hAnsi="宋体" w:eastAsia="宋体" w:cs="宋体"/>
                <w:kern w:val="0"/>
                <w:sz w:val="24"/>
                <w:szCs w:val="24"/>
                <w:highlight w:val="none"/>
                <w:lang w:eastAsia="zh-CN"/>
              </w:rPr>
              <w:t>投标人</w:t>
            </w:r>
            <w:r>
              <w:rPr>
                <w:rFonts w:hint="eastAsia" w:ascii="宋体" w:hAnsi="宋体" w:eastAsia="宋体" w:cs="宋体"/>
                <w:kern w:val="0"/>
                <w:sz w:val="24"/>
                <w:szCs w:val="24"/>
                <w:highlight w:val="none"/>
              </w:rPr>
              <w:t>提供的项目</w:t>
            </w:r>
            <w:r>
              <w:rPr>
                <w:rFonts w:hint="eastAsia" w:hAnsi="宋体" w:eastAsia="宋体" w:cs="宋体"/>
                <w:kern w:val="0"/>
                <w:sz w:val="24"/>
                <w:szCs w:val="24"/>
                <w:highlight w:val="none"/>
                <w:lang w:eastAsia="zh-CN"/>
              </w:rPr>
              <w:t>人员</w:t>
            </w:r>
            <w:r>
              <w:rPr>
                <w:rFonts w:hint="eastAsia" w:ascii="宋体" w:hAnsi="宋体" w:eastAsia="宋体" w:cs="宋体"/>
                <w:kern w:val="0"/>
                <w:sz w:val="24"/>
                <w:szCs w:val="24"/>
                <w:highlight w:val="none"/>
              </w:rPr>
              <w:t>配备情况打分</w:t>
            </w:r>
          </w:p>
        </w:tc>
        <w:tc>
          <w:tcPr>
            <w:tcW w:w="2900" w:type="pct"/>
            <w:tcBorders>
              <w:top w:val="nil"/>
              <w:left w:val="nil"/>
              <w:bottom w:val="single" w:color="auto" w:sz="4" w:space="0"/>
              <w:right w:val="single" w:color="auto" w:sz="4" w:space="0"/>
            </w:tcBorders>
            <w:noWrap w:val="0"/>
            <w:vAlign w:val="center"/>
          </w:tcPr>
          <w:p>
            <w:pPr>
              <w:pStyle w:val="9"/>
              <w:numPr>
                <w:ilvl w:val="0"/>
                <w:numId w:val="0"/>
              </w:numPr>
              <w:ind w:leftChars="0"/>
              <w:rPr>
                <w:rFonts w:hint="default" w:ascii="宋体" w:hAnsi="宋体" w:eastAsia="宋体" w:cs="宋体"/>
                <w:kern w:val="0"/>
                <w:sz w:val="24"/>
                <w:szCs w:val="24"/>
                <w:highlight w:val="none"/>
                <w:lang w:val="en-US" w:eastAsia="zh-CN" w:bidi="ar-SA"/>
              </w:rPr>
            </w:pPr>
            <w:r>
              <w:rPr>
                <w:rFonts w:hint="eastAsia" w:ascii="宋体" w:hAnsi="宋体" w:cs="宋体"/>
                <w:kern w:val="0"/>
                <w:sz w:val="24"/>
                <w:szCs w:val="24"/>
                <w:highlight w:val="none"/>
                <w:lang w:val="en-US" w:eastAsia="zh-CN" w:bidi="ar-SA"/>
              </w:rPr>
              <w:t>项目组成员</w:t>
            </w:r>
            <w:r>
              <w:rPr>
                <w:rFonts w:hint="eastAsia" w:ascii="宋体" w:hAnsi="宋体" w:eastAsia="宋体" w:cs="宋体"/>
                <w:kern w:val="0"/>
                <w:sz w:val="24"/>
                <w:szCs w:val="24"/>
                <w:highlight w:val="none"/>
                <w:lang w:val="en-US" w:eastAsia="zh-CN" w:bidi="ar-SA"/>
              </w:rPr>
              <w:t>具有网络工程师证书</w:t>
            </w:r>
            <w:r>
              <w:rPr>
                <w:rFonts w:hint="eastAsia" w:ascii="宋体" w:hAnsi="宋体" w:cs="宋体"/>
                <w:kern w:val="0"/>
                <w:sz w:val="24"/>
                <w:szCs w:val="24"/>
                <w:highlight w:val="none"/>
                <w:lang w:val="en-US" w:eastAsia="zh-CN" w:bidi="ar-SA"/>
              </w:rPr>
              <w:t>的得1分，</w:t>
            </w:r>
            <w:r>
              <w:rPr>
                <w:rFonts w:hint="eastAsia" w:ascii="宋体" w:hAnsi="宋体" w:eastAsia="宋体" w:cs="宋体"/>
                <w:kern w:val="0"/>
                <w:sz w:val="24"/>
                <w:szCs w:val="24"/>
                <w:highlight w:val="none"/>
                <w:lang w:val="en-US" w:eastAsia="zh-CN" w:bidi="ar-SA"/>
              </w:rPr>
              <w:t>具有安全技术高级工程师证书</w:t>
            </w:r>
            <w:r>
              <w:rPr>
                <w:rFonts w:hint="eastAsia" w:ascii="宋体" w:hAnsi="宋体" w:cs="宋体"/>
                <w:kern w:val="0"/>
                <w:sz w:val="24"/>
                <w:szCs w:val="24"/>
                <w:highlight w:val="none"/>
                <w:lang w:val="en-US" w:eastAsia="zh-CN" w:bidi="ar-SA"/>
              </w:rPr>
              <w:t>的得2分，本项最多得3分。</w:t>
            </w:r>
          </w:p>
          <w:p>
            <w:pPr>
              <w:pStyle w:val="9"/>
              <w:numPr>
                <w:ilvl w:val="0"/>
                <w:numId w:val="0"/>
              </w:numPr>
              <w:ind w:leftChars="0"/>
              <w:rPr>
                <w:rFonts w:hint="eastAsia"/>
                <w:highlight w:val="none"/>
                <w:lang w:val="en-US" w:eastAsia="zh-CN"/>
              </w:rPr>
            </w:pPr>
            <w:r>
              <w:rPr>
                <w:rFonts w:hint="eastAsia" w:ascii="宋体" w:hAnsi="宋体" w:eastAsia="宋体" w:cs="宋体"/>
                <w:b/>
                <w:bCs/>
                <w:color w:val="FF0000"/>
                <w:sz w:val="24"/>
                <w:szCs w:val="24"/>
              </w:rPr>
              <w:t>以上证书提供相应的证书原件或响应文件正本提供彩色复印件</w:t>
            </w:r>
            <w:r>
              <w:rPr>
                <w:rFonts w:hint="eastAsia" w:hAnsi="宋体" w:eastAsia="宋体" w:cs="宋体"/>
                <w:b/>
                <w:bCs/>
                <w:color w:val="FF0000"/>
                <w:sz w:val="24"/>
                <w:szCs w:val="24"/>
                <w:lang w:eastAsia="zh-CN"/>
              </w:rPr>
              <w:t>；</w:t>
            </w:r>
            <w:r>
              <w:rPr>
                <w:rFonts w:hint="eastAsia" w:hAnsi="宋体" w:eastAsia="宋体" w:cs="宋体"/>
                <w:b/>
                <w:bCs/>
                <w:color w:val="FF0000"/>
                <w:sz w:val="24"/>
                <w:szCs w:val="24"/>
                <w:lang w:val="en-US" w:eastAsia="zh-CN"/>
              </w:rPr>
              <w:t>同时提供投标人为其缴纳的社保证明（原件或彩色复印件），缴纳时间至少包含2020年5月至2020年7月，否则不得分。</w:t>
            </w:r>
          </w:p>
        </w:tc>
      </w:tr>
      <w:tr>
        <w:tblPrEx>
          <w:tblCellMar>
            <w:top w:w="0" w:type="dxa"/>
            <w:left w:w="108" w:type="dxa"/>
            <w:bottom w:w="0" w:type="dxa"/>
            <w:right w:w="108" w:type="dxa"/>
          </w:tblCellMar>
        </w:tblPrEx>
        <w:trPr>
          <w:trHeight w:val="360" w:hRule="atLeast"/>
        </w:trPr>
        <w:tc>
          <w:tcPr>
            <w:tcW w:w="294" w:type="pc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五</w:t>
            </w:r>
          </w:p>
        </w:tc>
        <w:tc>
          <w:tcPr>
            <w:tcW w:w="4705" w:type="pct"/>
            <w:gridSpan w:val="4"/>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售后服务及培训（</w:t>
            </w:r>
            <w:r>
              <w:rPr>
                <w:rFonts w:hint="eastAsia" w:hAnsi="宋体" w:eastAsia="宋体" w:cs="宋体"/>
                <w:kern w:val="0"/>
                <w:sz w:val="24"/>
                <w:szCs w:val="24"/>
                <w:highlight w:val="none"/>
                <w:lang w:val="en-US" w:eastAsia="zh-CN"/>
              </w:rPr>
              <w:t>7</w:t>
            </w:r>
            <w:r>
              <w:rPr>
                <w:rFonts w:hint="eastAsia" w:ascii="宋体" w:hAnsi="宋体" w:eastAsia="宋体" w:cs="宋体"/>
                <w:kern w:val="0"/>
                <w:sz w:val="24"/>
                <w:szCs w:val="24"/>
                <w:highlight w:val="none"/>
              </w:rPr>
              <w:t>分）</w:t>
            </w:r>
          </w:p>
        </w:tc>
      </w:tr>
      <w:tr>
        <w:tblPrEx>
          <w:tblCellMar>
            <w:top w:w="0" w:type="dxa"/>
            <w:left w:w="108" w:type="dxa"/>
            <w:bottom w:w="0" w:type="dxa"/>
            <w:right w:w="108" w:type="dxa"/>
          </w:tblCellMar>
        </w:tblPrEx>
        <w:trPr>
          <w:trHeight w:val="2326" w:hRule="atLeast"/>
        </w:trPr>
        <w:tc>
          <w:tcPr>
            <w:tcW w:w="294" w:type="pc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w:t>
            </w:r>
          </w:p>
        </w:tc>
        <w:tc>
          <w:tcPr>
            <w:tcW w:w="471"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售后服务体系与维保方案</w:t>
            </w:r>
          </w:p>
        </w:tc>
        <w:tc>
          <w:tcPr>
            <w:tcW w:w="469"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w:t>
            </w:r>
          </w:p>
        </w:tc>
        <w:tc>
          <w:tcPr>
            <w:tcW w:w="863"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根据售后服务体系与维保情况打分</w:t>
            </w:r>
          </w:p>
        </w:tc>
        <w:tc>
          <w:tcPr>
            <w:tcW w:w="2900"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kern w:val="0"/>
                <w:sz w:val="24"/>
                <w:szCs w:val="24"/>
                <w:highlight w:val="none"/>
                <w:lang w:eastAsia="zh-CN"/>
              </w:rPr>
            </w:pPr>
            <w:r>
              <w:rPr>
                <w:rFonts w:hint="eastAsia" w:ascii="宋体" w:hAnsi="宋体" w:eastAsia="宋体" w:cs="宋体"/>
                <w:kern w:val="0"/>
                <w:sz w:val="24"/>
                <w:szCs w:val="24"/>
                <w:highlight w:val="none"/>
              </w:rPr>
              <w:t>有完善的售后服务体系与维保方案，并有切实可行的售后服务计划以及服务承诺。</w:t>
            </w:r>
            <w:r>
              <w:rPr>
                <w:rFonts w:hint="eastAsia" w:hAnsi="宋体" w:eastAsia="宋体" w:cs="宋体"/>
                <w:kern w:val="0"/>
                <w:sz w:val="24"/>
                <w:szCs w:val="24"/>
                <w:highlight w:val="none"/>
                <w:lang w:eastAsia="zh-CN"/>
              </w:rPr>
              <w:t>（</w:t>
            </w:r>
            <w:r>
              <w:rPr>
                <w:rFonts w:hint="eastAsia" w:hAnsi="宋体" w:eastAsia="宋体" w:cs="宋体"/>
                <w:kern w:val="0"/>
                <w:sz w:val="24"/>
                <w:szCs w:val="24"/>
                <w:highlight w:val="none"/>
                <w:lang w:val="en-US" w:eastAsia="zh-CN"/>
              </w:rPr>
              <w:t>0-1分</w:t>
            </w:r>
            <w:r>
              <w:rPr>
                <w:rFonts w:hint="eastAsia" w:hAnsi="宋体" w:eastAsia="宋体" w:cs="宋体"/>
                <w:kern w:val="0"/>
                <w:sz w:val="24"/>
                <w:szCs w:val="24"/>
                <w:highlight w:val="none"/>
                <w:lang w:eastAsia="zh-CN"/>
              </w:rPr>
              <w:t>）</w:t>
            </w:r>
          </w:p>
        </w:tc>
      </w:tr>
      <w:tr>
        <w:tblPrEx>
          <w:tblCellMar>
            <w:top w:w="0" w:type="dxa"/>
            <w:left w:w="108" w:type="dxa"/>
            <w:bottom w:w="0" w:type="dxa"/>
            <w:right w:w="108" w:type="dxa"/>
          </w:tblCellMar>
        </w:tblPrEx>
        <w:trPr>
          <w:trHeight w:val="2403" w:hRule="atLeast"/>
        </w:trPr>
        <w:tc>
          <w:tcPr>
            <w:tcW w:w="294" w:type="pc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w:t>
            </w:r>
          </w:p>
        </w:tc>
        <w:tc>
          <w:tcPr>
            <w:tcW w:w="471"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售后服务能力</w:t>
            </w:r>
          </w:p>
        </w:tc>
        <w:tc>
          <w:tcPr>
            <w:tcW w:w="469"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4"/>
                <w:szCs w:val="24"/>
                <w:highlight w:val="none"/>
                <w:lang w:eastAsia="zh-CN"/>
              </w:rPr>
            </w:pPr>
            <w:r>
              <w:rPr>
                <w:rFonts w:hint="eastAsia" w:hAnsi="宋体" w:eastAsia="宋体" w:cs="宋体"/>
                <w:kern w:val="0"/>
                <w:sz w:val="24"/>
                <w:szCs w:val="24"/>
                <w:highlight w:val="none"/>
                <w:lang w:val="en-US" w:eastAsia="zh-CN"/>
              </w:rPr>
              <w:t>4</w:t>
            </w:r>
          </w:p>
        </w:tc>
        <w:tc>
          <w:tcPr>
            <w:tcW w:w="863"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根据</w:t>
            </w:r>
            <w:r>
              <w:rPr>
                <w:rFonts w:hint="eastAsia" w:ascii="宋体" w:hAnsi="宋体" w:eastAsia="宋体" w:cs="宋体"/>
                <w:kern w:val="0"/>
                <w:sz w:val="24"/>
                <w:szCs w:val="24"/>
                <w:highlight w:val="none"/>
                <w:lang w:eastAsia="zh-CN"/>
              </w:rPr>
              <w:t>投标人</w:t>
            </w:r>
            <w:r>
              <w:rPr>
                <w:rFonts w:hint="eastAsia" w:ascii="宋体" w:hAnsi="宋体" w:eastAsia="宋体" w:cs="宋体"/>
                <w:kern w:val="0"/>
                <w:sz w:val="24"/>
                <w:szCs w:val="24"/>
                <w:highlight w:val="none"/>
              </w:rPr>
              <w:t>提供的售后服务方面相关认证证书</w:t>
            </w:r>
          </w:p>
        </w:tc>
        <w:tc>
          <w:tcPr>
            <w:tcW w:w="2900" w:type="pct"/>
            <w:tcBorders>
              <w:top w:val="nil"/>
              <w:left w:val="nil"/>
              <w:bottom w:val="single" w:color="auto" w:sz="4" w:space="0"/>
              <w:right w:val="single" w:color="auto" w:sz="4" w:space="0"/>
            </w:tcBorders>
            <w:noWrap w:val="0"/>
            <w:vAlign w:val="center"/>
          </w:tcPr>
          <w:p>
            <w:pPr>
              <w:widowControl/>
              <w:jc w:val="left"/>
              <w:rPr>
                <w:rFonts w:hint="eastAsia" w:hAnsi="宋体" w:eastAsia="宋体" w:cs="宋体"/>
                <w:kern w:val="0"/>
                <w:sz w:val="24"/>
                <w:szCs w:val="24"/>
                <w:highlight w:val="none"/>
                <w:lang w:val="en-US" w:eastAsia="zh-CN"/>
              </w:rPr>
            </w:pPr>
            <w:r>
              <w:rPr>
                <w:rFonts w:hint="eastAsia" w:ascii="宋体" w:hAnsi="宋体" w:eastAsia="宋体" w:cs="宋体"/>
                <w:kern w:val="0"/>
                <w:sz w:val="24"/>
                <w:szCs w:val="24"/>
                <w:highlight w:val="none"/>
              </w:rPr>
              <w:t>投标人具有《商品售后服务评价体系》（GB/T27922-2011）为五星级售后的</w:t>
            </w:r>
            <w:r>
              <w:rPr>
                <w:rFonts w:hint="eastAsia" w:ascii="宋体" w:hAnsi="宋体" w:eastAsia="宋体" w:cs="宋体"/>
                <w:kern w:val="0"/>
                <w:sz w:val="24"/>
                <w:szCs w:val="24"/>
                <w:highlight w:val="none"/>
                <w:lang w:eastAsia="zh-CN"/>
              </w:rPr>
              <w:t>售后服务认证证书</w:t>
            </w:r>
            <w:r>
              <w:rPr>
                <w:rFonts w:hint="eastAsia" w:hAnsi="宋体" w:eastAsia="宋体" w:cs="宋体"/>
                <w:kern w:val="0"/>
                <w:sz w:val="24"/>
                <w:szCs w:val="24"/>
                <w:highlight w:val="none"/>
                <w:lang w:val="en-US" w:eastAsia="zh-CN"/>
              </w:rPr>
              <w:t>的得4分，否则不得分。</w:t>
            </w:r>
          </w:p>
          <w:p>
            <w:pPr>
              <w:pStyle w:val="2"/>
              <w:ind w:left="0" w:leftChars="0" w:firstLine="0" w:firstLineChars="0"/>
              <w:rPr>
                <w:rFonts w:hint="eastAsia" w:ascii="宋体" w:hAnsi="宋体" w:eastAsia="宋体" w:cs="宋体"/>
                <w:kern w:val="0"/>
                <w:sz w:val="24"/>
                <w:szCs w:val="24"/>
                <w:highlight w:val="none"/>
              </w:rPr>
            </w:pPr>
            <w:r>
              <w:rPr>
                <w:rFonts w:hint="eastAsia" w:ascii="宋体" w:hAnsi="宋体" w:eastAsia="宋体" w:cs="宋体"/>
                <w:b/>
                <w:bCs/>
                <w:color w:val="FF0000"/>
              </w:rPr>
              <w:t>以上证书提供相应的证书原件或响应文件正本提供彩色复印件</w:t>
            </w:r>
            <w:r>
              <w:rPr>
                <w:rFonts w:hint="eastAsia" w:hAnsi="宋体" w:eastAsia="宋体" w:cs="宋体"/>
                <w:b/>
                <w:bCs/>
                <w:color w:val="FF0000"/>
                <w:lang w:eastAsia="zh-CN"/>
              </w:rPr>
              <w:t>。</w:t>
            </w:r>
          </w:p>
        </w:tc>
      </w:tr>
      <w:tr>
        <w:tblPrEx>
          <w:tblCellMar>
            <w:top w:w="0" w:type="dxa"/>
            <w:left w:w="108" w:type="dxa"/>
            <w:bottom w:w="0" w:type="dxa"/>
            <w:right w:w="108" w:type="dxa"/>
          </w:tblCellMar>
        </w:tblPrEx>
        <w:trPr>
          <w:trHeight w:val="465" w:hRule="atLeast"/>
        </w:trPr>
        <w:tc>
          <w:tcPr>
            <w:tcW w:w="294" w:type="pc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3</w:t>
            </w:r>
          </w:p>
        </w:tc>
        <w:tc>
          <w:tcPr>
            <w:tcW w:w="471"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本地化服务</w:t>
            </w:r>
          </w:p>
        </w:tc>
        <w:tc>
          <w:tcPr>
            <w:tcW w:w="469"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w:t>
            </w:r>
          </w:p>
        </w:tc>
        <w:tc>
          <w:tcPr>
            <w:tcW w:w="863"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根据应答的技术服务打分</w:t>
            </w:r>
          </w:p>
        </w:tc>
        <w:tc>
          <w:tcPr>
            <w:tcW w:w="2900"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投标</w:t>
            </w:r>
            <w:r>
              <w:rPr>
                <w:rFonts w:hint="eastAsia" w:hAnsi="宋体" w:eastAsia="宋体" w:cs="宋体"/>
                <w:kern w:val="0"/>
                <w:sz w:val="24"/>
                <w:szCs w:val="24"/>
                <w:highlight w:val="none"/>
                <w:lang w:val="en-US" w:eastAsia="zh-CN"/>
              </w:rPr>
              <w:t>人</w:t>
            </w:r>
            <w:r>
              <w:rPr>
                <w:rFonts w:hint="eastAsia" w:ascii="宋体" w:hAnsi="宋体" w:eastAsia="宋体" w:cs="宋体"/>
                <w:kern w:val="0"/>
                <w:sz w:val="24"/>
                <w:szCs w:val="24"/>
                <w:highlight w:val="none"/>
              </w:rPr>
              <w:t>具有本地化服务能力（</w:t>
            </w:r>
            <w:r>
              <w:rPr>
                <w:rFonts w:hint="eastAsia" w:hAnsi="宋体" w:eastAsia="宋体" w:cs="宋体"/>
                <w:kern w:val="0"/>
                <w:sz w:val="24"/>
                <w:szCs w:val="24"/>
                <w:highlight w:val="none"/>
                <w:lang w:val="en-US" w:eastAsia="zh-CN"/>
              </w:rPr>
              <w:t>营业执照</w:t>
            </w:r>
            <w:r>
              <w:rPr>
                <w:rFonts w:hint="eastAsia" w:ascii="宋体" w:hAnsi="宋体" w:eastAsia="宋体" w:cs="宋体"/>
                <w:kern w:val="0"/>
                <w:sz w:val="24"/>
                <w:szCs w:val="24"/>
                <w:highlight w:val="none"/>
              </w:rPr>
              <w:t>注册地在江苏或者在江苏有分公司）的得1分，没有不得分。</w:t>
            </w:r>
            <w:bookmarkStart w:id="5" w:name="_GoBack"/>
            <w:bookmarkEnd w:id="5"/>
          </w:p>
        </w:tc>
      </w:tr>
      <w:tr>
        <w:tblPrEx>
          <w:tblCellMar>
            <w:top w:w="0" w:type="dxa"/>
            <w:left w:w="108" w:type="dxa"/>
            <w:bottom w:w="0" w:type="dxa"/>
            <w:right w:w="108" w:type="dxa"/>
          </w:tblCellMar>
        </w:tblPrEx>
        <w:trPr>
          <w:trHeight w:val="465" w:hRule="atLeast"/>
        </w:trPr>
        <w:tc>
          <w:tcPr>
            <w:tcW w:w="294" w:type="pc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4</w:t>
            </w:r>
          </w:p>
        </w:tc>
        <w:tc>
          <w:tcPr>
            <w:tcW w:w="471" w:type="pct"/>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培训</w:t>
            </w:r>
          </w:p>
        </w:tc>
        <w:tc>
          <w:tcPr>
            <w:tcW w:w="469"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w:t>
            </w:r>
          </w:p>
        </w:tc>
        <w:tc>
          <w:tcPr>
            <w:tcW w:w="863"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提供详尽的培训方案</w:t>
            </w:r>
          </w:p>
        </w:tc>
        <w:tc>
          <w:tcPr>
            <w:tcW w:w="2900"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kern w:val="0"/>
                <w:sz w:val="24"/>
                <w:szCs w:val="24"/>
                <w:highlight w:val="none"/>
                <w:lang w:eastAsia="zh-CN"/>
              </w:rPr>
            </w:pPr>
            <w:r>
              <w:rPr>
                <w:rFonts w:hint="eastAsia" w:ascii="宋体" w:hAnsi="宋体" w:eastAsia="宋体" w:cs="宋体"/>
                <w:kern w:val="0"/>
                <w:sz w:val="24"/>
                <w:szCs w:val="24"/>
                <w:highlight w:val="none"/>
              </w:rPr>
              <w:t>包含培训时间、地点、内容等。</w:t>
            </w:r>
            <w:r>
              <w:rPr>
                <w:rFonts w:hint="eastAsia" w:hAnsi="宋体" w:eastAsia="宋体" w:cs="宋体"/>
                <w:kern w:val="0"/>
                <w:sz w:val="24"/>
                <w:szCs w:val="24"/>
                <w:highlight w:val="none"/>
                <w:lang w:eastAsia="zh-CN"/>
              </w:rPr>
              <w:t>（</w:t>
            </w:r>
            <w:r>
              <w:rPr>
                <w:rFonts w:hint="eastAsia" w:hAnsi="宋体" w:eastAsia="宋体" w:cs="宋体"/>
                <w:kern w:val="0"/>
                <w:sz w:val="24"/>
                <w:szCs w:val="24"/>
                <w:highlight w:val="none"/>
                <w:lang w:val="en-US" w:eastAsia="zh-CN"/>
              </w:rPr>
              <w:t>0-1分</w:t>
            </w:r>
            <w:r>
              <w:rPr>
                <w:rFonts w:hint="eastAsia" w:hAnsi="宋体" w:eastAsia="宋体" w:cs="宋体"/>
                <w:kern w:val="0"/>
                <w:sz w:val="24"/>
                <w:szCs w:val="24"/>
                <w:highlight w:val="none"/>
                <w:lang w:eastAsia="zh-CN"/>
              </w:rPr>
              <w:t>）</w:t>
            </w:r>
          </w:p>
        </w:tc>
      </w:tr>
      <w:tr>
        <w:tblPrEx>
          <w:tblCellMar>
            <w:top w:w="0" w:type="dxa"/>
            <w:left w:w="108" w:type="dxa"/>
            <w:bottom w:w="0" w:type="dxa"/>
            <w:right w:w="108" w:type="dxa"/>
          </w:tblCellMar>
        </w:tblPrEx>
        <w:trPr>
          <w:trHeight w:val="793" w:hRule="atLeast"/>
        </w:trPr>
        <w:tc>
          <w:tcPr>
            <w:tcW w:w="766" w:type="pct"/>
            <w:gridSpan w:val="2"/>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总分</w:t>
            </w:r>
          </w:p>
        </w:tc>
        <w:tc>
          <w:tcPr>
            <w:tcW w:w="469"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100</w:t>
            </w:r>
          </w:p>
        </w:tc>
        <w:tc>
          <w:tcPr>
            <w:tcW w:w="863"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kern w:val="0"/>
                <w:sz w:val="24"/>
                <w:szCs w:val="24"/>
                <w:highlight w:val="none"/>
              </w:rPr>
            </w:pPr>
          </w:p>
        </w:tc>
        <w:tc>
          <w:tcPr>
            <w:tcW w:w="2900" w:type="pct"/>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kern w:val="0"/>
                <w:sz w:val="24"/>
                <w:szCs w:val="24"/>
                <w:highlight w:val="none"/>
              </w:rPr>
            </w:pPr>
          </w:p>
        </w:tc>
      </w:tr>
    </w:tbl>
    <w:p>
      <w:pPr>
        <w:keepNext w:val="0"/>
        <w:keepLines w:val="0"/>
        <w:pageBreakBefore w:val="0"/>
        <w:widowControl w:val="0"/>
        <w:numPr>
          <w:ilvl w:val="0"/>
          <w:numId w:val="0"/>
        </w:numPr>
        <w:kinsoku/>
        <w:wordWrap/>
        <w:overflowPunct/>
        <w:topLinePunct w:val="0"/>
        <w:autoSpaceDE/>
        <w:autoSpaceDN/>
        <w:bidi w:val="0"/>
        <w:adjustRightInd w:val="0"/>
        <w:snapToGrid/>
        <w:spacing w:line="500" w:lineRule="exact"/>
        <w:textAlignment w:val="baseline"/>
        <w:rPr>
          <w:rFonts w:hint="eastAsia" w:ascii="宋体" w:hAnsi="宋体" w:eastAsia="宋体" w:cs="宋体"/>
          <w:b/>
          <w:bCs/>
          <w:color w:val="FF0000"/>
          <w:sz w:val="24"/>
          <w:szCs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spacing w:line="500" w:lineRule="exact"/>
        <w:textAlignment w:val="baseline"/>
        <w:rPr>
          <w:rFonts w:hint="eastAsia" w:ascii="宋体" w:hAnsi="宋体" w:eastAsia="宋体" w:cs="宋体"/>
          <w:b/>
          <w:bCs/>
          <w:color w:val="FF0000"/>
          <w:sz w:val="24"/>
          <w:szCs w:val="24"/>
          <w:highlight w:val="none"/>
          <w:lang w:val="en-US" w:eastAsia="zh-CN"/>
        </w:rPr>
      </w:pPr>
      <w:r>
        <w:rPr>
          <w:rFonts w:hint="eastAsia" w:ascii="宋体" w:hAnsi="宋体" w:eastAsia="宋体" w:cs="宋体"/>
          <w:b/>
          <w:bCs/>
          <w:color w:val="FF0000"/>
          <w:sz w:val="24"/>
          <w:szCs w:val="24"/>
          <w:highlight w:val="none"/>
          <w:lang w:val="en-US" w:eastAsia="zh-CN"/>
        </w:rPr>
        <w:t>注：</w:t>
      </w:r>
    </w:p>
    <w:p>
      <w:pPr>
        <w:keepNext w:val="0"/>
        <w:keepLines w:val="0"/>
        <w:pageBreakBefore w:val="0"/>
        <w:widowControl w:val="0"/>
        <w:kinsoku/>
        <w:wordWrap/>
        <w:overflowPunct/>
        <w:topLinePunct w:val="0"/>
        <w:autoSpaceDE/>
        <w:autoSpaceDN/>
        <w:bidi w:val="0"/>
        <w:adjustRightInd w:val="0"/>
        <w:snapToGrid w:val="0"/>
        <w:spacing w:line="500" w:lineRule="exact"/>
        <w:ind w:firstLine="482" w:firstLineChars="200"/>
        <w:textAlignment w:val="baseline"/>
        <w:rPr>
          <w:rFonts w:hint="eastAsia" w:ascii="宋体" w:hAnsi="宋体" w:eastAsia="宋体" w:cs="宋体"/>
          <w:b/>
          <w:bCs/>
          <w:color w:val="FF0000"/>
          <w:sz w:val="24"/>
          <w:szCs w:val="24"/>
          <w:highlight w:val="none"/>
        </w:rPr>
      </w:pPr>
      <w:r>
        <w:rPr>
          <w:rFonts w:hint="eastAsia" w:ascii="宋体" w:hAnsi="宋体" w:eastAsia="宋体" w:cs="宋体"/>
          <w:b/>
          <w:bCs/>
          <w:color w:val="FF0000"/>
          <w:sz w:val="24"/>
          <w:szCs w:val="24"/>
          <w:highlight w:val="none"/>
        </w:rPr>
        <w:t>★</w:t>
      </w:r>
      <w:r>
        <w:rPr>
          <w:rFonts w:hint="eastAsia" w:ascii="宋体" w:hAnsi="宋体" w:eastAsia="宋体" w:cs="宋体"/>
          <w:b/>
          <w:bCs/>
          <w:color w:val="FF0000"/>
          <w:sz w:val="24"/>
          <w:szCs w:val="24"/>
          <w:highlight w:val="none"/>
          <w:lang w:val="en-US" w:eastAsia="zh-CN"/>
        </w:rPr>
        <w:t>1.</w:t>
      </w:r>
      <w:r>
        <w:rPr>
          <w:rFonts w:hint="eastAsia" w:ascii="宋体" w:hAnsi="宋体" w:eastAsia="宋体" w:cs="宋体"/>
          <w:b/>
          <w:bCs/>
          <w:color w:val="FF0000"/>
          <w:sz w:val="24"/>
          <w:szCs w:val="24"/>
          <w:highlight w:val="none"/>
        </w:rPr>
        <w:t>小型和微型企业产品价格扣除</w:t>
      </w:r>
    </w:p>
    <w:p>
      <w:pPr>
        <w:keepNext w:val="0"/>
        <w:keepLines w:val="0"/>
        <w:pageBreakBefore w:val="0"/>
        <w:widowControl w:val="0"/>
        <w:kinsoku/>
        <w:wordWrap/>
        <w:overflowPunct/>
        <w:topLinePunct w:val="0"/>
        <w:autoSpaceDE/>
        <w:autoSpaceDN/>
        <w:bidi w:val="0"/>
        <w:adjustRightInd w:val="0"/>
        <w:snapToGrid w:val="0"/>
        <w:spacing w:line="500" w:lineRule="exact"/>
        <w:ind w:firstLine="482" w:firstLineChars="200"/>
        <w:textAlignment w:val="baseline"/>
        <w:rPr>
          <w:rFonts w:hint="eastAsia" w:ascii="宋体" w:hAnsi="宋体" w:eastAsia="宋体" w:cs="宋体"/>
          <w:b/>
          <w:bCs/>
          <w:highlight w:val="none"/>
          <w:lang w:val="en-US" w:eastAsia="zh-CN"/>
        </w:rPr>
      </w:pPr>
      <w:r>
        <w:rPr>
          <w:rFonts w:hint="eastAsia" w:ascii="宋体" w:hAnsi="宋体" w:eastAsia="宋体" w:cs="宋体"/>
          <w:b/>
          <w:bCs/>
          <w:color w:val="FF0000"/>
          <w:kern w:val="0"/>
          <w:sz w:val="24"/>
          <w:szCs w:val="24"/>
          <w:highlight w:val="none"/>
        </w:rPr>
        <w:t>根据《政府采购促进中小企业发展暂行办法》等有关规定，对满足价格扣除条件且在投标（响应）文件中提交了《投标人企业类型声明函》（见本采购文件附件）等证明文件的供应商，其投标报价扣除</w:t>
      </w:r>
      <w:r>
        <w:rPr>
          <w:rFonts w:hint="eastAsia" w:ascii="宋体" w:hAnsi="宋体" w:eastAsia="宋体" w:cs="宋体"/>
          <w:b/>
          <w:bCs/>
          <w:color w:val="FF0000"/>
          <w:kern w:val="0"/>
          <w:sz w:val="24"/>
          <w:szCs w:val="24"/>
          <w:highlight w:val="none"/>
          <w:u w:val="single"/>
        </w:rPr>
        <w:t>10%</w:t>
      </w:r>
      <w:r>
        <w:rPr>
          <w:rFonts w:hint="eastAsia" w:ascii="宋体" w:hAnsi="宋体" w:eastAsia="宋体" w:cs="宋体"/>
          <w:b/>
          <w:bCs/>
          <w:color w:val="FF0000"/>
          <w:kern w:val="0"/>
          <w:sz w:val="24"/>
          <w:szCs w:val="24"/>
          <w:highlight w:val="none"/>
        </w:rPr>
        <w:t>后参与评审。对于同时属于小微企业、监狱企业或残疾人福利性单位的，不重复进行投标报价扣除</w:t>
      </w:r>
      <w:r>
        <w:rPr>
          <w:rFonts w:hint="eastAsia" w:ascii="宋体" w:hAnsi="宋体" w:eastAsia="宋体" w:cs="宋体"/>
          <w:b/>
          <w:bCs/>
          <w:color w:val="FF0000"/>
          <w:sz w:val="24"/>
          <w:szCs w:val="24"/>
          <w:highlight w:val="none"/>
        </w:rPr>
        <w:t>。</w:t>
      </w:r>
    </w:p>
    <w:p>
      <w:pPr>
        <w:keepNext w:val="0"/>
        <w:keepLines w:val="0"/>
        <w:pageBreakBefore w:val="0"/>
        <w:widowControl w:val="0"/>
        <w:numPr>
          <w:ilvl w:val="0"/>
          <w:numId w:val="0"/>
        </w:numPr>
        <w:kinsoku/>
        <w:wordWrap/>
        <w:overflowPunct/>
        <w:topLinePunct w:val="0"/>
        <w:autoSpaceDE/>
        <w:autoSpaceDN/>
        <w:bidi w:val="0"/>
        <w:adjustRightInd w:val="0"/>
        <w:snapToGrid/>
        <w:spacing w:line="500" w:lineRule="exact"/>
        <w:ind w:firstLine="480" w:firstLineChars="200"/>
        <w:textAlignment w:val="baseline"/>
        <w:rPr>
          <w:rFonts w:hint="eastAsia" w:ascii="宋体" w:hAnsi="宋体" w:eastAsia="宋体" w:cs="宋体"/>
          <w:b w:val="0"/>
          <w:bCs w:val="0"/>
          <w:color w:val="FF0000"/>
          <w:sz w:val="24"/>
          <w:szCs w:val="24"/>
          <w:highlight w:val="none"/>
          <w:lang w:val="en-US" w:eastAsia="zh-CN"/>
        </w:rPr>
      </w:pPr>
      <w:r>
        <w:rPr>
          <w:rFonts w:hint="eastAsia" w:ascii="宋体" w:hAnsi="宋体" w:eastAsia="宋体" w:cs="宋体"/>
          <w:b w:val="0"/>
          <w:bCs w:val="0"/>
          <w:color w:val="FF0000"/>
          <w:sz w:val="24"/>
          <w:szCs w:val="24"/>
          <w:highlight w:val="none"/>
          <w:lang w:val="en-US" w:eastAsia="zh-CN"/>
        </w:rPr>
        <w:t>2.评分标准中设区间得分项的，其得分均包括区间两端值，以0.1分为一个计分单元。</w:t>
      </w:r>
    </w:p>
    <w:p>
      <w:pPr>
        <w:keepNext w:val="0"/>
        <w:keepLines w:val="0"/>
        <w:pageBreakBefore w:val="0"/>
        <w:widowControl w:val="0"/>
        <w:numPr>
          <w:ilvl w:val="0"/>
          <w:numId w:val="0"/>
        </w:numPr>
        <w:kinsoku/>
        <w:wordWrap/>
        <w:overflowPunct/>
        <w:topLinePunct w:val="0"/>
        <w:autoSpaceDE/>
        <w:autoSpaceDN/>
        <w:bidi w:val="0"/>
        <w:adjustRightInd w:val="0"/>
        <w:snapToGrid/>
        <w:spacing w:line="500" w:lineRule="exact"/>
        <w:ind w:firstLine="480" w:firstLineChars="200"/>
        <w:textAlignment w:val="baseline"/>
        <w:rPr>
          <w:rFonts w:hint="eastAsia" w:ascii="宋体" w:hAnsi="宋体" w:eastAsia="宋体" w:cs="宋体"/>
          <w:b w:val="0"/>
          <w:bCs w:val="0"/>
          <w:color w:val="FF0000"/>
          <w:sz w:val="24"/>
          <w:szCs w:val="24"/>
          <w:highlight w:val="none"/>
          <w:lang w:val="en-US" w:eastAsia="zh-CN"/>
        </w:rPr>
      </w:pPr>
      <w:r>
        <w:rPr>
          <w:rFonts w:hint="eastAsia" w:ascii="宋体" w:hAnsi="宋体" w:eastAsia="宋体" w:cs="宋体"/>
          <w:b w:val="0"/>
          <w:bCs w:val="0"/>
          <w:color w:val="FF0000"/>
          <w:sz w:val="24"/>
          <w:szCs w:val="24"/>
          <w:highlight w:val="none"/>
          <w:lang w:val="en-US" w:eastAsia="zh-CN"/>
        </w:rPr>
        <w:t>3.投标人的总得分为所有评委评审该单位总得分的平均值（小数点后保留二位，四舍五入）。</w:t>
      </w:r>
    </w:p>
    <w:p>
      <w:pPr>
        <w:keepNext w:val="0"/>
        <w:keepLines w:val="0"/>
        <w:pageBreakBefore w:val="0"/>
        <w:widowControl w:val="0"/>
        <w:numPr>
          <w:ilvl w:val="0"/>
          <w:numId w:val="0"/>
        </w:numPr>
        <w:kinsoku/>
        <w:wordWrap/>
        <w:overflowPunct/>
        <w:topLinePunct w:val="0"/>
        <w:autoSpaceDE/>
        <w:autoSpaceDN/>
        <w:bidi w:val="0"/>
        <w:adjustRightInd w:val="0"/>
        <w:snapToGrid/>
        <w:spacing w:line="500" w:lineRule="exact"/>
        <w:textAlignment w:val="baseline"/>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特别说明：</w:t>
      </w:r>
    </w:p>
    <w:p>
      <w:pPr>
        <w:keepNext w:val="0"/>
        <w:keepLines w:val="0"/>
        <w:pageBreakBefore w:val="0"/>
        <w:widowControl w:val="0"/>
        <w:numPr>
          <w:ilvl w:val="0"/>
          <w:numId w:val="0"/>
        </w:numPr>
        <w:kinsoku/>
        <w:wordWrap/>
        <w:overflowPunct/>
        <w:topLinePunct w:val="0"/>
        <w:autoSpaceDE/>
        <w:autoSpaceDN/>
        <w:bidi w:val="0"/>
        <w:adjustRightInd w:val="0"/>
        <w:snapToGrid/>
        <w:spacing w:line="500" w:lineRule="exact"/>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1、采购文件中所提及的项目需求中和评分标准中所提及的原件须装在专门材料袋中</w:t>
      </w:r>
      <w:r>
        <w:rPr>
          <w:rFonts w:hint="eastAsia" w:ascii="宋体" w:hAnsi="宋体" w:eastAsia="宋体" w:cs="宋体"/>
          <w:b/>
          <w:bCs/>
          <w:color w:val="FF0000"/>
          <w:sz w:val="24"/>
          <w:szCs w:val="24"/>
          <w:highlight w:val="none"/>
          <w:lang w:val="en-US" w:eastAsia="zh-CN"/>
        </w:rPr>
        <w:t>（密封）</w:t>
      </w:r>
      <w:r>
        <w:rPr>
          <w:rFonts w:hint="eastAsia" w:ascii="宋体" w:hAnsi="宋体" w:eastAsia="宋体" w:cs="宋体"/>
          <w:sz w:val="24"/>
          <w:szCs w:val="24"/>
          <w:highlight w:val="none"/>
          <w:lang w:val="en-US" w:eastAsia="zh-CN"/>
        </w:rPr>
        <w:t>，并在封面上列表注明证书类别、份数等，开标前与响应文件同时递交工作人员，做好签到事宜。</w:t>
      </w:r>
    </w:p>
    <w:p>
      <w:pPr>
        <w:keepNext w:val="0"/>
        <w:keepLines w:val="0"/>
        <w:pageBreakBefore w:val="0"/>
        <w:widowControl w:val="0"/>
        <w:numPr>
          <w:ilvl w:val="0"/>
          <w:numId w:val="0"/>
        </w:numPr>
        <w:kinsoku/>
        <w:wordWrap/>
        <w:overflowPunct/>
        <w:topLinePunct w:val="0"/>
        <w:autoSpaceDE/>
        <w:autoSpaceDN/>
        <w:bidi w:val="0"/>
        <w:adjustRightInd w:val="0"/>
        <w:snapToGrid/>
        <w:spacing w:line="500" w:lineRule="exact"/>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w:t>
      </w:r>
      <w:r>
        <w:rPr>
          <w:rFonts w:hint="eastAsia" w:ascii="宋体" w:hAnsi="宋体" w:eastAsia="宋体" w:cs="宋体"/>
          <w:b/>
          <w:bCs/>
          <w:sz w:val="24"/>
          <w:szCs w:val="24"/>
          <w:highlight w:val="none"/>
          <w:lang w:val="en-US" w:eastAsia="zh-CN"/>
        </w:rPr>
        <w:t>无论何种原因，即使投标人在开标时携带了证书、业绩合同等材料（如有）的原件，但在响应文件中未提供与之内容完全一致的复印件或影印件的，评标委员会可以视同其未提供；</w:t>
      </w:r>
      <w:r>
        <w:rPr>
          <w:rFonts w:hint="eastAsia" w:ascii="宋体" w:hAnsi="宋体" w:eastAsia="宋体" w:cs="宋体"/>
          <w:sz w:val="24"/>
          <w:szCs w:val="24"/>
          <w:highlight w:val="none"/>
          <w:lang w:val="en-US" w:eastAsia="zh-CN"/>
        </w:rPr>
        <w:t>在评标中需核对原件，若无，则所核项目不得分。如提供虚假材料，则不予推荐中标，另按《政府采购法》予以处罚。</w:t>
      </w:r>
    </w:p>
    <w:p>
      <w:pPr>
        <w:keepNext w:val="0"/>
        <w:keepLines w:val="0"/>
        <w:pageBreakBefore w:val="0"/>
        <w:widowControl w:val="0"/>
        <w:numPr>
          <w:ilvl w:val="0"/>
          <w:numId w:val="0"/>
        </w:numPr>
        <w:kinsoku/>
        <w:wordWrap/>
        <w:overflowPunct/>
        <w:topLinePunct w:val="0"/>
        <w:autoSpaceDE/>
        <w:autoSpaceDN/>
        <w:bidi w:val="0"/>
        <w:adjustRightInd w:val="0"/>
        <w:snapToGrid/>
        <w:spacing w:line="500" w:lineRule="exact"/>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3、证书正在进行年检无法提供证明材料的，应提供相关行政主管部门的受理意见证明、相应官方网站查询结果等相关的有效证明材料。</w:t>
      </w:r>
    </w:p>
    <w:p>
      <w:pPr>
        <w:keepNext w:val="0"/>
        <w:keepLines w:val="0"/>
        <w:pageBreakBefore w:val="0"/>
        <w:widowControl w:val="0"/>
        <w:numPr>
          <w:ilvl w:val="0"/>
          <w:numId w:val="0"/>
        </w:numPr>
        <w:kinsoku/>
        <w:wordWrap/>
        <w:overflowPunct/>
        <w:topLinePunct w:val="0"/>
        <w:autoSpaceDE/>
        <w:autoSpaceDN/>
        <w:bidi w:val="0"/>
        <w:adjustRightInd w:val="0"/>
        <w:snapToGrid/>
        <w:spacing w:line="500" w:lineRule="exact"/>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4、响应文件应按采购文件规定的顺序，内容不得减少及自行改变格式；统一用A4规格幅面制作、装订成册并编制目录，由于编排混乱导致响应文件被误读或缺失，责任由投标人承担。</w:t>
      </w:r>
    </w:p>
    <w:p>
      <w:pPr>
        <w:keepNext w:val="0"/>
        <w:keepLines w:val="0"/>
        <w:pageBreakBefore w:val="0"/>
        <w:widowControl w:val="0"/>
        <w:numPr>
          <w:ilvl w:val="0"/>
          <w:numId w:val="0"/>
        </w:numPr>
        <w:kinsoku/>
        <w:wordWrap/>
        <w:overflowPunct/>
        <w:topLinePunct w:val="0"/>
        <w:autoSpaceDE/>
        <w:autoSpaceDN/>
        <w:bidi w:val="0"/>
        <w:adjustRightInd w:val="0"/>
        <w:snapToGrid/>
        <w:spacing w:line="500" w:lineRule="exact"/>
        <w:ind w:firstLine="480" w:firstLineChars="20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5、本评分标准中要求提供的评分依据，不管本采购文件其他部分是否要求提供，投标人均应按照本评分标准的要求提供相关的资料，如果投标人没有按照本评分标准的要求提供相关的评分资料，给投标人带来的负面影响，由投标人自行承担。</w:t>
      </w:r>
    </w:p>
    <w:p>
      <w:pPr>
        <w:keepNext w:val="0"/>
        <w:keepLines w:val="0"/>
        <w:pageBreakBefore w:val="0"/>
        <w:widowControl w:val="0"/>
        <w:numPr>
          <w:ilvl w:val="0"/>
          <w:numId w:val="0"/>
        </w:numPr>
        <w:kinsoku/>
        <w:wordWrap/>
        <w:overflowPunct/>
        <w:topLinePunct w:val="0"/>
        <w:autoSpaceDE/>
        <w:autoSpaceDN/>
        <w:bidi w:val="0"/>
        <w:adjustRightInd w:val="0"/>
        <w:snapToGrid/>
        <w:spacing w:line="500" w:lineRule="exact"/>
        <w:ind w:firstLine="560" w:firstLineChars="200"/>
        <w:textAlignment w:val="baseline"/>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869BC0C"/>
    <w:multiLevelType w:val="singleLevel"/>
    <w:tmpl w:val="8869BC0C"/>
    <w:lvl w:ilvl="0" w:tentative="0">
      <w:start w:val="1"/>
      <w:numFmt w:val="decimal"/>
      <w:suff w:val="nothing"/>
      <w:lvlText w:val="%1、"/>
      <w:lvlJc w:val="left"/>
    </w:lvl>
  </w:abstractNum>
  <w:abstractNum w:abstractNumId="1">
    <w:nsid w:val="14512615"/>
    <w:multiLevelType w:val="multilevel"/>
    <w:tmpl w:val="14512615"/>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2">
    <w:nsid w:val="237E4D61"/>
    <w:multiLevelType w:val="multilevel"/>
    <w:tmpl w:val="237E4D61"/>
    <w:lvl w:ilvl="0" w:tentative="0">
      <w:start w:val="1"/>
      <w:numFmt w:val="japaneseCounting"/>
      <w:lvlText w:val="第%1章"/>
      <w:lvlJc w:val="left"/>
      <w:pPr>
        <w:ind w:left="3114" w:hanging="420"/>
      </w:pPr>
      <w:rPr>
        <w:rFonts w:hint="eastAsia" w:ascii="黑体" w:eastAsia="黑体"/>
        <w:b w:val="0"/>
        <w:sz w:val="36"/>
        <w:lang w:val="en-US"/>
      </w:rPr>
    </w:lvl>
    <w:lvl w:ilvl="1" w:tentative="0">
      <w:start w:val="1"/>
      <w:numFmt w:val="decimal"/>
      <w:isLgl/>
      <w:lvlText w:val="%1.%2"/>
      <w:lvlJc w:val="left"/>
      <w:pPr>
        <w:tabs>
          <w:tab w:val="left" w:pos="851"/>
        </w:tabs>
        <w:ind w:left="0" w:firstLine="0"/>
      </w:pPr>
      <w:rPr>
        <w:rFonts w:cs="Times New Roman"/>
        <w:b w:val="0"/>
        <w:bCs w:val="0"/>
        <w:i w:val="0"/>
        <w:iCs w:val="0"/>
        <w:caps w:val="0"/>
        <w:smallCaps w:val="0"/>
        <w:strike w:val="0"/>
        <w:dstrike w:val="0"/>
        <w:vanish w:val="0"/>
        <w:spacing w:val="0"/>
        <w:kern w:val="0"/>
        <w:position w:val="0"/>
        <w:u w:val="none"/>
        <w:vertAlign w:val="baseline"/>
      </w:rPr>
    </w:lvl>
    <w:lvl w:ilvl="2" w:tentative="0">
      <w:start w:val="1"/>
      <w:numFmt w:val="decimal"/>
      <w:pStyle w:val="11"/>
      <w:isLgl/>
      <w:lvlText w:val="%1.%2.%3"/>
      <w:lvlJc w:val="left"/>
      <w:pPr>
        <w:tabs>
          <w:tab w:val="left" w:pos="851"/>
        </w:tabs>
        <w:ind w:left="0" w:firstLine="0"/>
      </w:pPr>
      <w:rPr>
        <w:rFonts w:cs="Times New Roman"/>
        <w:b w:val="0"/>
        <w:bCs w:val="0"/>
        <w:i w:val="0"/>
        <w:iCs w:val="0"/>
        <w:caps w:val="0"/>
        <w:smallCaps w:val="0"/>
        <w:strike w:val="0"/>
        <w:dstrike w:val="0"/>
        <w:vanish w:val="0"/>
        <w:color w:val="000000"/>
        <w:spacing w:val="0"/>
        <w:kern w:val="0"/>
        <w:position w:val="0"/>
        <w:u w:val="none"/>
        <w:vertAlign w:val="baseline"/>
      </w:rPr>
    </w:lvl>
    <w:lvl w:ilvl="3" w:tentative="0">
      <w:start w:val="1"/>
      <w:numFmt w:val="decimal"/>
      <w:isLgl/>
      <w:lvlText w:val="%1.%2.%3.%4"/>
      <w:lvlJc w:val="left"/>
      <w:pPr>
        <w:tabs>
          <w:tab w:val="left" w:pos="1134"/>
        </w:tabs>
        <w:ind w:left="0" w:firstLine="0"/>
      </w:pPr>
      <w:rPr>
        <w:rFonts w:hint="eastAsia"/>
      </w:rPr>
    </w:lvl>
    <w:lvl w:ilvl="4" w:tentative="0">
      <w:start w:val="1"/>
      <w:numFmt w:val="decimal"/>
      <w:lvlText w:val="%1.%2.%3.%4.%5"/>
      <w:lvlJc w:val="left"/>
      <w:pPr>
        <w:tabs>
          <w:tab w:val="left" w:pos="4850"/>
        </w:tabs>
        <w:ind w:left="4620" w:hanging="850"/>
      </w:pPr>
      <w:rPr>
        <w:rFonts w:hint="eastAsia"/>
      </w:rPr>
    </w:lvl>
    <w:lvl w:ilvl="5" w:tentative="0">
      <w:start w:val="1"/>
      <w:numFmt w:val="decimal"/>
      <w:lvlText w:val="%1.%2.%3.%4.%5.%6"/>
      <w:lvlJc w:val="left"/>
      <w:pPr>
        <w:tabs>
          <w:tab w:val="left" w:pos="5635"/>
        </w:tabs>
        <w:ind w:left="5329" w:hanging="1134"/>
      </w:pPr>
      <w:rPr>
        <w:rFonts w:hint="eastAsia"/>
      </w:rPr>
    </w:lvl>
    <w:lvl w:ilvl="6" w:tentative="0">
      <w:start w:val="1"/>
      <w:numFmt w:val="decimal"/>
      <w:lvlText w:val="%1.%2.%3.%4.%5.%6.%7"/>
      <w:lvlJc w:val="left"/>
      <w:pPr>
        <w:tabs>
          <w:tab w:val="left" w:pos="6420"/>
        </w:tabs>
        <w:ind w:left="5896" w:hanging="1276"/>
      </w:pPr>
      <w:rPr>
        <w:rFonts w:hint="eastAsia"/>
      </w:rPr>
    </w:lvl>
    <w:lvl w:ilvl="7" w:tentative="0">
      <w:start w:val="1"/>
      <w:numFmt w:val="decimal"/>
      <w:lvlText w:val="%1.%2.%3.%4.%5.%6.%7.%8"/>
      <w:lvlJc w:val="left"/>
      <w:pPr>
        <w:tabs>
          <w:tab w:val="left" w:pos="6845"/>
        </w:tabs>
        <w:ind w:left="6463" w:hanging="1418"/>
      </w:pPr>
      <w:rPr>
        <w:rFonts w:hint="eastAsia"/>
      </w:rPr>
    </w:lvl>
    <w:lvl w:ilvl="8" w:tentative="0">
      <w:start w:val="1"/>
      <w:numFmt w:val="decimal"/>
      <w:lvlText w:val="%1.%2.%3.%4.%5.%6.%7.%8.%9"/>
      <w:lvlJc w:val="left"/>
      <w:pPr>
        <w:tabs>
          <w:tab w:val="left" w:pos="7631"/>
        </w:tabs>
        <w:ind w:left="7171" w:hanging="1700"/>
      </w:pPr>
      <w:rPr>
        <w:rFonts w:hint="eastAsia"/>
      </w:rPr>
    </w:lvl>
  </w:abstractNum>
  <w:abstractNum w:abstractNumId="3">
    <w:nsid w:val="400E0BA0"/>
    <w:multiLevelType w:val="singleLevel"/>
    <w:tmpl w:val="400E0BA0"/>
    <w:lvl w:ilvl="0" w:tentative="0">
      <w:start w:val="1"/>
      <w:numFmt w:val="decimal"/>
      <w:lvlText w:val="%1."/>
      <w:lvlJc w:val="left"/>
      <w:pPr>
        <w:tabs>
          <w:tab w:val="left" w:pos="312"/>
        </w:tabs>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5A7614"/>
    <w:rsid w:val="423C111A"/>
    <w:rsid w:val="485A7614"/>
    <w:rsid w:val="679657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60" w:lineRule="auto"/>
      <w:jc w:val="both"/>
      <w:textAlignment w:val="baseline"/>
    </w:pPr>
    <w:rPr>
      <w:rFonts w:ascii="宋体" w:hAnsi="Times New Roman" w:eastAsia="仿宋" w:cs="Times New Roman"/>
      <w:sz w:val="28"/>
      <w:szCs w:val="21"/>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lock Text"/>
    <w:basedOn w:val="1"/>
    <w:uiPriority w:val="0"/>
    <w:pPr>
      <w:adjustRightInd w:val="0"/>
      <w:ind w:left="420" w:right="33"/>
      <w:jc w:val="left"/>
      <w:textAlignment w:val="baseline"/>
    </w:pPr>
    <w:rPr>
      <w:kern w:val="0"/>
      <w:sz w:val="24"/>
    </w:rPr>
  </w:style>
  <w:style w:type="paragraph" w:styleId="3">
    <w:name w:val="Body Text Indent"/>
    <w:basedOn w:val="1"/>
    <w:unhideWhenUsed/>
    <w:qFormat/>
    <w:uiPriority w:val="99"/>
    <w:pPr>
      <w:spacing w:after="120"/>
      <w:ind w:left="420" w:leftChars="200"/>
    </w:pPr>
  </w:style>
  <w:style w:type="paragraph" w:styleId="4">
    <w:name w:val="Body Text First Indent 2"/>
    <w:basedOn w:val="3"/>
    <w:unhideWhenUsed/>
    <w:qFormat/>
    <w:uiPriority w:val="99"/>
    <w:pPr>
      <w:ind w:firstLine="420" w:firstLineChars="200"/>
    </w:pPr>
    <w:rPr>
      <w:kern w:val="0"/>
      <w:sz w:val="20"/>
      <w:szCs w:val="20"/>
    </w:rPr>
  </w:style>
  <w:style w:type="paragraph" w:customStyle="1" w:styleId="7">
    <w:name w:val="公文段落格式"/>
    <w:basedOn w:val="1"/>
    <w:qFormat/>
    <w:uiPriority w:val="0"/>
    <w:pPr>
      <w:snapToGrid w:val="0"/>
      <w:spacing w:line="560" w:lineRule="exact"/>
      <w:ind w:firstLine="419"/>
    </w:pPr>
    <w:rPr>
      <w:rFonts w:ascii="仿宋" w:hAnsi="仿宋" w:eastAsia="仿宋"/>
      <w:color w:val="000000"/>
      <w:sz w:val="32"/>
    </w:rPr>
  </w:style>
  <w:style w:type="paragraph" w:customStyle="1" w:styleId="8">
    <w:name w:val="方案文档"/>
    <w:qFormat/>
    <w:uiPriority w:val="0"/>
    <w:pPr>
      <w:spacing w:beforeLines="50" w:afterLines="50" w:line="360" w:lineRule="auto"/>
      <w:ind w:firstLine="200" w:firstLineChars="200"/>
    </w:pPr>
    <w:rPr>
      <w:rFonts w:ascii="Times New Roman" w:hAnsi="Times New Roman" w:eastAsia="宋体" w:cs="Times New Roman"/>
      <w:kern w:val="2"/>
      <w:sz w:val="24"/>
      <w:szCs w:val="24"/>
      <w:lang w:val="en-US" w:eastAsia="zh-CN" w:bidi="ar-SA"/>
    </w:rPr>
  </w:style>
  <w:style w:type="paragraph" w:customStyle="1" w:styleId="9">
    <w:name w:val="List Paragraph"/>
    <w:basedOn w:val="1"/>
    <w:qFormat/>
    <w:uiPriority w:val="0"/>
    <w:pPr>
      <w:adjustRightInd/>
      <w:spacing w:line="240" w:lineRule="auto"/>
      <w:ind w:firstLine="420" w:firstLineChars="200"/>
      <w:textAlignment w:val="auto"/>
    </w:pPr>
    <w:rPr>
      <w:rFonts w:ascii="Calibri" w:hAnsi="Calibri" w:eastAsia="宋体"/>
      <w:kern w:val="2"/>
      <w:sz w:val="21"/>
      <w:szCs w:val="22"/>
    </w:rPr>
  </w:style>
  <w:style w:type="paragraph" w:customStyle="1" w:styleId="10">
    <w:name w:val="正文空2格  1."/>
    <w:basedOn w:val="1"/>
    <w:qFormat/>
    <w:uiPriority w:val="0"/>
    <w:pPr>
      <w:ind w:firstLine="480" w:firstLineChars="200"/>
    </w:pPr>
    <w:rPr>
      <w:rFonts w:cs="宋体"/>
      <w:szCs w:val="20"/>
    </w:rPr>
  </w:style>
  <w:style w:type="paragraph" w:customStyle="1" w:styleId="11">
    <w:name w:val="正文 1.1.1"/>
    <w:basedOn w:val="1"/>
    <w:next w:val="1"/>
    <w:qFormat/>
    <w:uiPriority w:val="0"/>
    <w:pPr>
      <w:numPr>
        <w:ilvl w:val="2"/>
        <w:numId w:val="1"/>
      </w:numPr>
      <w:outlineLvl w:val="2"/>
    </w:pPr>
    <w:rPr>
      <w:rFonts w:hAnsi="宋体" w:eastAsia="宋体"/>
      <w:color w:val="000000"/>
    </w:rPr>
  </w:style>
  <w:style w:type="paragraph" w:customStyle="1" w:styleId="12">
    <w:name w:val="Table Paragraph"/>
    <w:basedOn w:val="1"/>
    <w:qFormat/>
    <w:uiPriority w:val="1"/>
    <w:rPr>
      <w:rFonts w:ascii="楷体" w:hAnsi="楷体" w:eastAsia="楷体" w:cs="楷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2020-09-01T08:42:00Z</dcterms:created>
  <dc:creator>江苏晨进--顾栋程</dc:creator>
  <cp:lastModifiedBy>江苏晨进--顾栋程</cp:lastModifiedBy>
  <dcterms:modified xsi:type="dcterms:W3CDTF">2020-09-01T09:40:54Z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